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6DD" w:rsidRPr="004A16E8" w:rsidRDefault="00CB36DD" w:rsidP="00CB36DD">
      <w:pPr>
        <w:jc w:val="both"/>
        <w:rPr>
          <w:rFonts w:ascii="Arial" w:hAnsi="Arial" w:cs="Arial"/>
        </w:rPr>
      </w:pPr>
    </w:p>
    <w:p w:rsidR="00CB36DD" w:rsidRPr="004A16E8" w:rsidRDefault="00CB36DD" w:rsidP="00CB36DD">
      <w:pPr>
        <w:pStyle w:val="Titre1"/>
        <w:rPr>
          <w:rFonts w:ascii="Arial" w:hAnsi="Arial" w:cs="Arial"/>
        </w:rPr>
      </w:pPr>
      <w:bookmarkStart w:id="0" w:name="_Toc117430255"/>
      <w:bookmarkStart w:id="1" w:name="_Toc117431422"/>
      <w:bookmarkStart w:id="2" w:name="_Toc118207971"/>
      <w:r w:rsidRPr="004A16E8">
        <w:rPr>
          <w:rFonts w:ascii="Arial" w:hAnsi="Arial" w:cs="Arial"/>
        </w:rPr>
        <w:t>CAHIER DES CLAUSES TECHNIQUES</w:t>
      </w:r>
      <w:bookmarkEnd w:id="0"/>
      <w:bookmarkEnd w:id="1"/>
      <w:bookmarkEnd w:id="2"/>
    </w:p>
    <w:p w:rsidR="00CB36DD" w:rsidRPr="004A16E8" w:rsidRDefault="00CB36DD" w:rsidP="00CB36DD">
      <w:pPr>
        <w:pStyle w:val="Titre2"/>
        <w:numPr>
          <w:ilvl w:val="0"/>
          <w:numId w:val="20"/>
        </w:numPr>
        <w:rPr>
          <w:rFonts w:ascii="Arial" w:hAnsi="Arial" w:cs="Arial"/>
        </w:rPr>
      </w:pPr>
      <w:bookmarkStart w:id="3" w:name="_Toc117431423"/>
      <w:bookmarkStart w:id="4" w:name="_Toc118207972"/>
      <w:r w:rsidRPr="004A16E8">
        <w:rPr>
          <w:rFonts w:ascii="Arial" w:hAnsi="Arial" w:cs="Arial"/>
        </w:rPr>
        <w:t>Caractéristiques des fournitures</w:t>
      </w:r>
      <w:bookmarkEnd w:id="3"/>
      <w:bookmarkEnd w:id="4"/>
    </w:p>
    <w:p w:rsidR="00CB36DD" w:rsidRPr="004A16E8" w:rsidRDefault="00CB36DD" w:rsidP="00CB36DD">
      <w:pPr>
        <w:pStyle w:val="Titre2"/>
        <w:numPr>
          <w:ilvl w:val="0"/>
          <w:numId w:val="5"/>
        </w:numPr>
        <w:spacing w:before="120" w:after="120" w:line="276" w:lineRule="auto"/>
        <w:ind w:left="0" w:firstLine="0"/>
        <w:rPr>
          <w:rFonts w:ascii="Arial" w:hAnsi="Arial" w:cs="Arial"/>
          <w:sz w:val="24"/>
          <w:szCs w:val="24"/>
        </w:rPr>
      </w:pPr>
      <w:bookmarkStart w:id="5" w:name="_Toc335891914"/>
      <w:bookmarkStart w:id="6" w:name="_Toc335915575"/>
      <w:bookmarkStart w:id="7" w:name="_Toc117431424"/>
      <w:bookmarkStart w:id="8" w:name="_Toc118207973"/>
      <w:r w:rsidRPr="004A16E8">
        <w:rPr>
          <w:rFonts w:ascii="Arial" w:hAnsi="Arial" w:cs="Arial"/>
          <w:sz w:val="24"/>
          <w:szCs w:val="24"/>
        </w:rPr>
        <w:t>Dénomination des Fournitures</w:t>
      </w:r>
      <w:bookmarkEnd w:id="5"/>
      <w:bookmarkEnd w:id="6"/>
      <w:bookmarkEnd w:id="7"/>
      <w:bookmarkEnd w:id="8"/>
    </w:p>
    <w:p w:rsidR="00CB36DD" w:rsidRPr="004A16E8" w:rsidRDefault="00CB36DD" w:rsidP="00CB36DD">
      <w:pPr>
        <w:spacing w:before="120" w:after="120" w:line="276" w:lineRule="auto"/>
        <w:jc w:val="both"/>
        <w:rPr>
          <w:rFonts w:ascii="Arial" w:hAnsi="Arial" w:cs="Arial"/>
        </w:rPr>
      </w:pPr>
      <w:r w:rsidRPr="004A16E8">
        <w:rPr>
          <w:rFonts w:ascii="Arial" w:hAnsi="Arial" w:cs="Arial"/>
        </w:rPr>
        <w:t>Toutes les fournitures doivent être présentées et libellées :</w:t>
      </w:r>
    </w:p>
    <w:p w:rsidR="00CB36DD" w:rsidRPr="004A16E8" w:rsidRDefault="00CB36DD" w:rsidP="00CB36DD">
      <w:pPr>
        <w:numPr>
          <w:ilvl w:val="0"/>
          <w:numId w:val="6"/>
        </w:numPr>
        <w:suppressAutoHyphens/>
        <w:spacing w:before="120" w:after="120" w:line="276" w:lineRule="auto"/>
        <w:ind w:left="567" w:hanging="283"/>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leur </w:t>
      </w:r>
      <w:r w:rsidRPr="004A16E8">
        <w:rPr>
          <w:rFonts w:ascii="Arial" w:hAnsi="Arial" w:cs="Arial"/>
          <w:b/>
        </w:rPr>
        <w:t>Dénomination Commune Internationale (DCI)</w:t>
      </w:r>
      <w:r w:rsidRPr="004A16E8">
        <w:rPr>
          <w:rFonts w:ascii="Arial" w:hAnsi="Arial" w:cs="Arial"/>
        </w:rPr>
        <w:t xml:space="preserve"> lorsqu’il s’agit de médicaments essentiels génériques.</w:t>
      </w:r>
    </w:p>
    <w:p w:rsidR="00CB36DD" w:rsidRPr="004A16E8" w:rsidRDefault="00CB36DD" w:rsidP="00CB36DD">
      <w:pPr>
        <w:numPr>
          <w:ilvl w:val="0"/>
          <w:numId w:val="6"/>
        </w:numPr>
        <w:suppressAutoHyphens/>
        <w:spacing w:before="120" w:after="120" w:line="276" w:lineRule="auto"/>
        <w:ind w:left="567" w:hanging="283"/>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la dénomination par laquelle ils sont identifiés dans le cadre du présent appel d’offres (voir le tableau des Spécifications Techniques des Fournitures), pour les consommables médico-pharmaceutiques, le matériel médical, les réactifs et matériel de laboratoire et les produits dentaires.</w:t>
      </w:r>
    </w:p>
    <w:p w:rsidR="00CB36DD" w:rsidRPr="004A16E8" w:rsidRDefault="00CB36DD" w:rsidP="00CB36DD">
      <w:pPr>
        <w:pStyle w:val="Titre2"/>
        <w:numPr>
          <w:ilvl w:val="0"/>
          <w:numId w:val="5"/>
        </w:numPr>
        <w:spacing w:before="120" w:after="120" w:line="276" w:lineRule="auto"/>
        <w:ind w:left="0" w:firstLine="0"/>
        <w:rPr>
          <w:rFonts w:ascii="Arial" w:hAnsi="Arial" w:cs="Arial"/>
          <w:sz w:val="24"/>
          <w:szCs w:val="24"/>
        </w:rPr>
      </w:pPr>
      <w:bookmarkStart w:id="9" w:name="_Toc335891916"/>
      <w:bookmarkStart w:id="10" w:name="_Toc335915576"/>
      <w:bookmarkStart w:id="11" w:name="_Toc117431425"/>
      <w:bookmarkStart w:id="12" w:name="_Toc118207974"/>
      <w:r w:rsidRPr="004A16E8">
        <w:rPr>
          <w:rFonts w:ascii="Arial" w:hAnsi="Arial" w:cs="Arial"/>
          <w:sz w:val="24"/>
          <w:szCs w:val="24"/>
        </w:rPr>
        <w:t>Pharmacopées de référence</w:t>
      </w:r>
      <w:bookmarkEnd w:id="9"/>
      <w:bookmarkEnd w:id="10"/>
      <w:bookmarkEnd w:id="11"/>
      <w:bookmarkEnd w:id="12"/>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Les produits pharmaceutiques livrés seront conformes à l’une des pharmacopées de réputation internationale suivantes dans leurs dernières versions : </w:t>
      </w:r>
    </w:p>
    <w:p w:rsidR="00CB36DD" w:rsidRPr="004A16E8" w:rsidRDefault="00CB36DD" w:rsidP="00CB36DD">
      <w:pPr>
        <w:numPr>
          <w:ilvl w:val="0"/>
          <w:numId w:val="4"/>
        </w:numPr>
        <w:tabs>
          <w:tab w:val="clear" w:pos="928"/>
        </w:tabs>
        <w:suppressAutoHyphens/>
        <w:spacing w:before="120" w:after="120" w:line="276" w:lineRule="auto"/>
        <w:ind w:hanging="361"/>
        <w:jc w:val="both"/>
        <w:rPr>
          <w:rFonts w:ascii="Arial" w:hAnsi="Arial" w:cs="Arial"/>
          <w:b/>
          <w:bCs/>
          <w:i/>
          <w:iCs/>
        </w:rPr>
      </w:pPr>
      <w:r w:rsidRPr="004A16E8">
        <w:rPr>
          <w:rFonts w:ascii="Arial" w:hAnsi="Arial" w:cs="Arial"/>
          <w:b/>
          <w:bCs/>
          <w:i/>
          <w:iCs/>
        </w:rPr>
        <w:t xml:space="preserve">British </w:t>
      </w:r>
      <w:proofErr w:type="spellStart"/>
      <w:r w:rsidRPr="004A16E8">
        <w:rPr>
          <w:rFonts w:ascii="Arial" w:hAnsi="Arial" w:cs="Arial"/>
          <w:b/>
          <w:bCs/>
          <w:i/>
          <w:iCs/>
        </w:rPr>
        <w:t>Pharmacopoeia</w:t>
      </w:r>
      <w:proofErr w:type="spellEnd"/>
      <w:r w:rsidRPr="004A16E8">
        <w:rPr>
          <w:rFonts w:ascii="Arial" w:hAnsi="Arial" w:cs="Arial"/>
          <w:b/>
          <w:bCs/>
          <w:i/>
          <w:iCs/>
        </w:rPr>
        <w:t xml:space="preserve"> (BP)</w:t>
      </w:r>
    </w:p>
    <w:p w:rsidR="00CB36DD" w:rsidRPr="004A16E8" w:rsidRDefault="00CB36DD" w:rsidP="00CB36DD">
      <w:pPr>
        <w:numPr>
          <w:ilvl w:val="0"/>
          <w:numId w:val="4"/>
        </w:numPr>
        <w:tabs>
          <w:tab w:val="clear" w:pos="928"/>
        </w:tabs>
        <w:suppressAutoHyphens/>
        <w:spacing w:before="120" w:after="120" w:line="276" w:lineRule="auto"/>
        <w:ind w:hanging="361"/>
        <w:jc w:val="both"/>
        <w:rPr>
          <w:rFonts w:ascii="Arial" w:hAnsi="Arial" w:cs="Arial"/>
          <w:b/>
          <w:bCs/>
          <w:i/>
          <w:iCs/>
        </w:rPr>
      </w:pPr>
      <w:r w:rsidRPr="004A16E8">
        <w:rPr>
          <w:rFonts w:ascii="Arial" w:hAnsi="Arial" w:cs="Arial"/>
          <w:b/>
          <w:bCs/>
          <w:i/>
          <w:iCs/>
        </w:rPr>
        <w:t xml:space="preserve">United States </w:t>
      </w:r>
      <w:proofErr w:type="spellStart"/>
      <w:r w:rsidRPr="004A16E8">
        <w:rPr>
          <w:rFonts w:ascii="Arial" w:hAnsi="Arial" w:cs="Arial"/>
          <w:b/>
          <w:bCs/>
          <w:i/>
          <w:iCs/>
        </w:rPr>
        <w:t>Pharmacopoeia</w:t>
      </w:r>
      <w:proofErr w:type="spellEnd"/>
      <w:r w:rsidRPr="004A16E8">
        <w:rPr>
          <w:rFonts w:ascii="Arial" w:hAnsi="Arial" w:cs="Arial"/>
          <w:b/>
          <w:bCs/>
          <w:i/>
          <w:iCs/>
        </w:rPr>
        <w:t xml:space="preserve"> (USP)</w:t>
      </w:r>
    </w:p>
    <w:p w:rsidR="00CB36DD" w:rsidRPr="004A16E8" w:rsidRDefault="00CB36DD" w:rsidP="00CB36DD">
      <w:pPr>
        <w:numPr>
          <w:ilvl w:val="0"/>
          <w:numId w:val="4"/>
        </w:numPr>
        <w:tabs>
          <w:tab w:val="clear" w:pos="928"/>
        </w:tabs>
        <w:suppressAutoHyphens/>
        <w:spacing w:before="120" w:after="120" w:line="276" w:lineRule="auto"/>
        <w:ind w:hanging="361"/>
        <w:jc w:val="both"/>
        <w:rPr>
          <w:rFonts w:ascii="Arial" w:hAnsi="Arial" w:cs="Arial"/>
          <w:b/>
          <w:bCs/>
          <w:i/>
          <w:iCs/>
        </w:rPr>
      </w:pPr>
      <w:r w:rsidRPr="004A16E8">
        <w:rPr>
          <w:rFonts w:ascii="Arial" w:hAnsi="Arial" w:cs="Arial"/>
          <w:b/>
          <w:bCs/>
          <w:i/>
          <w:iCs/>
        </w:rPr>
        <w:t>Pharmacopée Européenne (</w:t>
      </w:r>
      <w:proofErr w:type="spellStart"/>
      <w:r w:rsidRPr="004A16E8">
        <w:rPr>
          <w:rFonts w:ascii="Arial" w:hAnsi="Arial" w:cs="Arial"/>
          <w:b/>
          <w:bCs/>
          <w:i/>
          <w:iCs/>
        </w:rPr>
        <w:t>PhEur</w:t>
      </w:r>
      <w:proofErr w:type="spellEnd"/>
      <w:r w:rsidRPr="004A16E8">
        <w:rPr>
          <w:rFonts w:ascii="Arial" w:hAnsi="Arial" w:cs="Arial"/>
          <w:b/>
          <w:bCs/>
          <w:i/>
          <w:iCs/>
        </w:rPr>
        <w:t>)</w:t>
      </w:r>
    </w:p>
    <w:p w:rsidR="00CB36DD" w:rsidRPr="004A16E8" w:rsidRDefault="00CB36DD" w:rsidP="00CB36DD">
      <w:pPr>
        <w:numPr>
          <w:ilvl w:val="0"/>
          <w:numId w:val="4"/>
        </w:numPr>
        <w:tabs>
          <w:tab w:val="clear" w:pos="928"/>
        </w:tabs>
        <w:suppressAutoHyphens/>
        <w:spacing w:before="120" w:after="120" w:line="276" w:lineRule="auto"/>
        <w:ind w:left="851" w:hanging="284"/>
        <w:jc w:val="both"/>
        <w:rPr>
          <w:rFonts w:ascii="Arial" w:hAnsi="Arial" w:cs="Arial"/>
          <w:b/>
          <w:bCs/>
          <w:i/>
          <w:iCs/>
        </w:rPr>
      </w:pPr>
      <w:proofErr w:type="gramStart"/>
      <w:r w:rsidRPr="004A16E8">
        <w:rPr>
          <w:rFonts w:ascii="Arial" w:hAnsi="Arial" w:cs="Arial"/>
          <w:b/>
          <w:bCs/>
          <w:i/>
          <w:iCs/>
        </w:rPr>
        <w:t>Pharmacopée  Internationale</w:t>
      </w:r>
      <w:proofErr w:type="gramEnd"/>
      <w:r w:rsidRPr="004A16E8">
        <w:rPr>
          <w:rFonts w:ascii="Arial" w:hAnsi="Arial" w:cs="Arial"/>
          <w:b/>
          <w:bCs/>
          <w:i/>
          <w:iCs/>
        </w:rPr>
        <w:t xml:space="preserve"> (IP)</w:t>
      </w:r>
    </w:p>
    <w:p w:rsidR="00CB36DD" w:rsidRPr="004A16E8" w:rsidRDefault="00CB36DD" w:rsidP="00CB36DD">
      <w:pPr>
        <w:numPr>
          <w:ilvl w:val="0"/>
          <w:numId w:val="4"/>
        </w:numPr>
        <w:tabs>
          <w:tab w:val="clear" w:pos="928"/>
        </w:tabs>
        <w:suppressAutoHyphens/>
        <w:spacing w:before="120" w:after="120" w:line="276" w:lineRule="auto"/>
        <w:ind w:left="851" w:hanging="284"/>
        <w:jc w:val="both"/>
        <w:rPr>
          <w:rFonts w:ascii="Arial" w:hAnsi="Arial" w:cs="Arial"/>
          <w:b/>
          <w:bCs/>
          <w:i/>
          <w:iCs/>
        </w:rPr>
      </w:pPr>
      <w:r w:rsidRPr="004A16E8">
        <w:rPr>
          <w:rFonts w:ascii="Arial" w:hAnsi="Arial" w:cs="Arial"/>
          <w:b/>
          <w:bCs/>
          <w:i/>
          <w:iCs/>
        </w:rPr>
        <w:t>Pharmacopée chinoise</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Si un produit pharmaceutique livré n’est pas conforme à l’une de ces pharmacopées de référence, les dispositions suivantes seront prises :</w:t>
      </w:r>
    </w:p>
    <w:p w:rsidR="00CB36DD" w:rsidRPr="004A16E8" w:rsidRDefault="00CB36DD" w:rsidP="00CB36DD">
      <w:pPr>
        <w:numPr>
          <w:ilvl w:val="0"/>
          <w:numId w:val="7"/>
        </w:numPr>
        <w:suppressAutoHyphens/>
        <w:spacing w:before="120" w:after="120" w:line="276" w:lineRule="auto"/>
        <w:ind w:left="851" w:hanging="284"/>
        <w:jc w:val="both"/>
        <w:rPr>
          <w:rFonts w:ascii="Arial" w:hAnsi="Arial" w:cs="Arial"/>
        </w:rPr>
      </w:pPr>
      <w:proofErr w:type="gramStart"/>
      <w:r w:rsidRPr="004A16E8">
        <w:rPr>
          <w:rFonts w:ascii="Arial" w:hAnsi="Arial" w:cs="Arial"/>
        </w:rPr>
        <w:t>dans</w:t>
      </w:r>
      <w:proofErr w:type="gramEnd"/>
      <w:r w:rsidRPr="004A16E8">
        <w:rPr>
          <w:rFonts w:ascii="Arial" w:hAnsi="Arial" w:cs="Arial"/>
        </w:rPr>
        <w:t xml:space="preserve"> son offre, le candidat est tenu de le signaler et d’indiquer précisément la Pharmacopée de référence à laquelle il recourt  (ex : In-house </w:t>
      </w:r>
      <w:proofErr w:type="spellStart"/>
      <w:r w:rsidRPr="004A16E8">
        <w:rPr>
          <w:rFonts w:ascii="Arial" w:hAnsi="Arial" w:cs="Arial"/>
        </w:rPr>
        <w:t>specifications</w:t>
      </w:r>
      <w:proofErr w:type="spellEnd"/>
      <w:r w:rsidRPr="004A16E8">
        <w:rPr>
          <w:rFonts w:ascii="Arial" w:hAnsi="Arial" w:cs="Arial"/>
        </w:rPr>
        <w:t>, pharmacopée indienne, etc….)</w:t>
      </w:r>
    </w:p>
    <w:p w:rsidR="00CB36DD" w:rsidRPr="004A16E8" w:rsidRDefault="00CB36DD" w:rsidP="00CB36DD">
      <w:pPr>
        <w:numPr>
          <w:ilvl w:val="0"/>
          <w:numId w:val="7"/>
        </w:numPr>
        <w:suppressAutoHyphens/>
        <w:spacing w:before="120" w:after="120" w:line="276" w:lineRule="auto"/>
        <w:ind w:left="851" w:hanging="284"/>
        <w:jc w:val="both"/>
        <w:rPr>
          <w:rFonts w:ascii="Arial" w:hAnsi="Arial" w:cs="Arial"/>
        </w:rPr>
      </w:pPr>
      <w:r w:rsidRPr="004A16E8">
        <w:rPr>
          <w:rFonts w:ascii="Arial" w:hAnsi="Arial" w:cs="Arial"/>
        </w:rPr>
        <w:t>Le Titulaire doit fournir le protocole de contrôle ou la méthode analytique (</w:t>
      </w:r>
      <w:r w:rsidRPr="004A16E8">
        <w:rPr>
          <w:rFonts w:ascii="Arial" w:hAnsi="Arial" w:cs="Arial"/>
          <w:i/>
          <w:iCs/>
        </w:rPr>
        <w:t>Process</w:t>
      </w:r>
      <w:r w:rsidRPr="004A16E8">
        <w:rPr>
          <w:rFonts w:ascii="Arial" w:hAnsi="Arial" w:cs="Arial"/>
        </w:rPr>
        <w:t>) correspondant et les substances étalons nécessaires.</w:t>
      </w:r>
    </w:p>
    <w:p w:rsidR="00CB36DD" w:rsidRPr="004A16E8" w:rsidRDefault="00CB36DD" w:rsidP="00CB36DD">
      <w:pPr>
        <w:pStyle w:val="Titre2"/>
        <w:numPr>
          <w:ilvl w:val="0"/>
          <w:numId w:val="5"/>
        </w:numPr>
        <w:spacing w:before="120" w:after="120" w:line="276" w:lineRule="auto"/>
        <w:ind w:left="0" w:firstLine="0"/>
        <w:rPr>
          <w:rFonts w:ascii="Arial" w:hAnsi="Arial" w:cs="Arial"/>
          <w:sz w:val="24"/>
          <w:szCs w:val="24"/>
        </w:rPr>
      </w:pPr>
      <w:bookmarkStart w:id="13" w:name="_Toc335891917"/>
      <w:bookmarkStart w:id="14" w:name="_Toc335915577"/>
      <w:bookmarkStart w:id="15" w:name="_Toc117431426"/>
      <w:bookmarkStart w:id="16" w:name="_Toc118207975"/>
      <w:r w:rsidRPr="004A16E8">
        <w:rPr>
          <w:rFonts w:ascii="Arial" w:hAnsi="Arial" w:cs="Arial"/>
          <w:sz w:val="24"/>
          <w:szCs w:val="24"/>
        </w:rPr>
        <w:t>Normes de référence</w:t>
      </w:r>
      <w:bookmarkEnd w:id="13"/>
      <w:bookmarkEnd w:id="14"/>
      <w:bookmarkEnd w:id="15"/>
      <w:bookmarkEnd w:id="16"/>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Certaines fournitures particulières sont décrites dans le cadre de systèmes de normes internationales. Les systèmes retenus comme référence dans le cadre du Marché sont les normes CE, </w:t>
      </w:r>
      <w:proofErr w:type="gramStart"/>
      <w:r w:rsidRPr="004A16E8">
        <w:rPr>
          <w:rFonts w:ascii="Arial" w:hAnsi="Arial" w:cs="Arial"/>
        </w:rPr>
        <w:t>ISO  et</w:t>
      </w:r>
      <w:proofErr w:type="gramEnd"/>
      <w:r w:rsidRPr="004A16E8">
        <w:rPr>
          <w:rFonts w:ascii="Arial" w:hAnsi="Arial" w:cs="Arial"/>
        </w:rPr>
        <w:t xml:space="preserve"> AFNOR.</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domaines d’application particulière de certaines normes sont détaillés à l’article 3 du Cahier des Clauses Techniques.</w:t>
      </w:r>
    </w:p>
    <w:p w:rsidR="00CB36DD" w:rsidRPr="004A16E8" w:rsidRDefault="00CB36DD" w:rsidP="00CB36DD">
      <w:pPr>
        <w:pStyle w:val="Titre2"/>
        <w:numPr>
          <w:ilvl w:val="0"/>
          <w:numId w:val="5"/>
        </w:numPr>
        <w:spacing w:before="120" w:after="120" w:line="276" w:lineRule="auto"/>
        <w:ind w:left="0" w:firstLine="0"/>
        <w:rPr>
          <w:rFonts w:ascii="Arial" w:hAnsi="Arial" w:cs="Arial"/>
          <w:sz w:val="24"/>
          <w:szCs w:val="24"/>
        </w:rPr>
      </w:pPr>
      <w:bookmarkStart w:id="17" w:name="_Toc335891918"/>
      <w:bookmarkStart w:id="18" w:name="_Toc335915578"/>
      <w:bookmarkStart w:id="19" w:name="_Toc117431427"/>
      <w:bookmarkStart w:id="20" w:name="_Toc118207976"/>
      <w:r w:rsidRPr="004A16E8">
        <w:rPr>
          <w:rFonts w:ascii="Arial" w:hAnsi="Arial" w:cs="Arial"/>
          <w:sz w:val="24"/>
          <w:szCs w:val="24"/>
        </w:rPr>
        <w:t>Origine des Fournitures</w:t>
      </w:r>
      <w:bookmarkEnd w:id="17"/>
      <w:bookmarkEnd w:id="18"/>
      <w:bookmarkEnd w:id="19"/>
      <w:bookmarkEnd w:id="20"/>
    </w:p>
    <w:p w:rsidR="00CB36DD" w:rsidRPr="004A16E8" w:rsidRDefault="00CB36DD" w:rsidP="00CB36DD">
      <w:pPr>
        <w:pStyle w:val="Titre4"/>
        <w:numPr>
          <w:ilvl w:val="0"/>
          <w:numId w:val="8"/>
        </w:numPr>
        <w:tabs>
          <w:tab w:val="clear" w:pos="0"/>
          <w:tab w:val="clear" w:pos="8845"/>
        </w:tabs>
        <w:spacing w:before="120" w:after="120" w:line="276" w:lineRule="auto"/>
        <w:ind w:left="850" w:hanging="357"/>
        <w:jc w:val="left"/>
        <w:rPr>
          <w:rFonts w:ascii="Arial" w:hAnsi="Arial" w:cs="Arial"/>
        </w:rPr>
      </w:pPr>
      <w:bookmarkStart w:id="21" w:name="_Toc335915579"/>
      <w:r w:rsidRPr="004A16E8">
        <w:rPr>
          <w:rFonts w:ascii="Arial" w:hAnsi="Arial" w:cs="Arial"/>
        </w:rPr>
        <w:t>Définitions préalables</w:t>
      </w:r>
      <w:bookmarkEnd w:id="21"/>
    </w:p>
    <w:p w:rsidR="00CB36DD" w:rsidRPr="004A16E8" w:rsidRDefault="00CB36DD" w:rsidP="00CB36DD">
      <w:pPr>
        <w:tabs>
          <w:tab w:val="left" w:pos="4536"/>
        </w:tabs>
        <w:spacing w:before="120" w:after="120" w:line="276" w:lineRule="auto"/>
        <w:jc w:val="both"/>
        <w:rPr>
          <w:rFonts w:ascii="Arial" w:hAnsi="Arial" w:cs="Arial"/>
        </w:rPr>
      </w:pPr>
      <w:r w:rsidRPr="004A16E8">
        <w:rPr>
          <w:rFonts w:ascii="Arial" w:hAnsi="Arial" w:cs="Arial"/>
        </w:rPr>
        <w:t>Aux fins de la présente clause, « l’origine des fournitures » signifie le lieu où les fournitures sont extraites, cultivées ou produites.</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lastRenderedPageBreak/>
        <w:t xml:space="preserve">Des fournitures sont « produites » lorsque, par fabrication, par traitement ou par assemblage important et essentiel de composants, on obtient un produit reconnu propre à la commercialisation, dont les caractéristiques fondamentales, l’objet ou l’utilité sont substantiellement différents de ceux de ses composants. </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L’origine des fournitures est distincte de la nationalité du titulaire ou du fabricant.</w:t>
      </w:r>
    </w:p>
    <w:p w:rsidR="00CB36DD" w:rsidRPr="004A16E8" w:rsidRDefault="00CB36DD" w:rsidP="00CB36DD">
      <w:pPr>
        <w:pStyle w:val="Titre4"/>
        <w:numPr>
          <w:ilvl w:val="0"/>
          <w:numId w:val="8"/>
        </w:numPr>
        <w:tabs>
          <w:tab w:val="clear" w:pos="0"/>
          <w:tab w:val="clear" w:pos="8845"/>
        </w:tabs>
        <w:spacing w:before="120" w:after="120" w:line="276" w:lineRule="auto"/>
        <w:ind w:left="1134" w:hanging="567"/>
        <w:jc w:val="left"/>
        <w:rPr>
          <w:rFonts w:ascii="Arial" w:hAnsi="Arial" w:cs="Arial"/>
        </w:rPr>
      </w:pPr>
      <w:bookmarkStart w:id="22" w:name="_Toc335915580"/>
      <w:r w:rsidRPr="004A16E8">
        <w:rPr>
          <w:rFonts w:ascii="Arial" w:hAnsi="Arial" w:cs="Arial"/>
        </w:rPr>
        <w:t>Clauses d’application</w:t>
      </w:r>
      <w:bookmarkEnd w:id="22"/>
    </w:p>
    <w:p w:rsidR="00CB36DD" w:rsidRPr="004A16E8" w:rsidRDefault="00CB36DD" w:rsidP="00CB36DD">
      <w:pPr>
        <w:spacing w:before="120" w:after="120" w:line="276" w:lineRule="auto"/>
        <w:jc w:val="both"/>
        <w:rPr>
          <w:rFonts w:ascii="Arial" w:hAnsi="Arial" w:cs="Arial"/>
        </w:rPr>
      </w:pPr>
      <w:r w:rsidRPr="004A16E8">
        <w:rPr>
          <w:rFonts w:ascii="Arial" w:hAnsi="Arial" w:cs="Arial"/>
        </w:rPr>
        <w:t>Le titulaire est tenu de livrer, au titre du Marché, les fournitures correspondant à celles décrites dans son dossier de préqualification, tant par leur qualité que par leur origine (fabricant et pays d’origine), à l’exclusion de toute alternative.</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L’impossibilité de satisfaire à cette clause doit être dûment signalée et justifiée auprès du Bénéficiaire, dans les meilleurs délais.</w:t>
      </w:r>
    </w:p>
    <w:p w:rsidR="00CB36DD" w:rsidRPr="005B6EE2" w:rsidRDefault="00CB36DD" w:rsidP="00CB36DD">
      <w:pPr>
        <w:pStyle w:val="Titre2"/>
        <w:rPr>
          <w:rFonts w:ascii="Arial" w:hAnsi="Arial" w:cs="Arial"/>
        </w:rPr>
      </w:pPr>
      <w:bookmarkStart w:id="23" w:name="_Toc117431428"/>
      <w:bookmarkStart w:id="24" w:name="_Toc118207977"/>
      <w:r w:rsidRPr="005B6EE2">
        <w:rPr>
          <w:rFonts w:ascii="Arial" w:hAnsi="Arial" w:cs="Arial"/>
        </w:rPr>
        <w:t>Conditionnement</w:t>
      </w:r>
      <w:bookmarkEnd w:id="23"/>
      <w:bookmarkEnd w:id="24"/>
    </w:p>
    <w:p w:rsidR="00CB36DD" w:rsidRPr="004A16E8" w:rsidRDefault="00CB36DD" w:rsidP="00CB36DD">
      <w:pPr>
        <w:pStyle w:val="Titre2"/>
        <w:numPr>
          <w:ilvl w:val="0"/>
          <w:numId w:val="9"/>
        </w:numPr>
        <w:spacing w:before="120" w:after="120" w:line="276" w:lineRule="auto"/>
        <w:ind w:left="0" w:firstLine="0"/>
        <w:rPr>
          <w:rFonts w:ascii="Arial" w:hAnsi="Arial" w:cs="Arial"/>
          <w:sz w:val="24"/>
          <w:szCs w:val="24"/>
        </w:rPr>
      </w:pPr>
      <w:bookmarkStart w:id="25" w:name="_Toc335891920"/>
      <w:bookmarkStart w:id="26" w:name="_Toc335915582"/>
      <w:bookmarkStart w:id="27" w:name="_Toc117431429"/>
      <w:bookmarkStart w:id="28" w:name="_Toc118207978"/>
      <w:r w:rsidRPr="004A16E8">
        <w:rPr>
          <w:rFonts w:ascii="Arial" w:hAnsi="Arial" w:cs="Arial"/>
          <w:sz w:val="24"/>
          <w:szCs w:val="24"/>
        </w:rPr>
        <w:t>Spécifications et protection des conditionnements</w:t>
      </w:r>
      <w:bookmarkEnd w:id="25"/>
      <w:bookmarkEnd w:id="26"/>
      <w:bookmarkEnd w:id="27"/>
      <w:bookmarkEnd w:id="28"/>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Les Fournitures et leurs conditionnements doivent avoir les caractéristiques techniques nécessaires à leur utilisation dans les conditions climatiques qui prévalent à Madagascar (zone climatique IV a). </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Tous les conditionnements seront livrés hermétiquement clos et posséderont un dispositif de fermeture permettant d’identifier toute effraction.</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Le fournisseur est tenu de se référer aux recommandations techniques de L’OMS. (WHO </w:t>
      </w:r>
      <w:proofErr w:type="spellStart"/>
      <w:r w:rsidRPr="004A16E8">
        <w:rPr>
          <w:rFonts w:ascii="Arial" w:hAnsi="Arial" w:cs="Arial"/>
        </w:rPr>
        <w:t>Technical</w:t>
      </w:r>
      <w:proofErr w:type="spellEnd"/>
      <w:r w:rsidRPr="004A16E8">
        <w:rPr>
          <w:rFonts w:ascii="Arial" w:hAnsi="Arial" w:cs="Arial"/>
        </w:rPr>
        <w:t xml:space="preserve"> Report </w:t>
      </w:r>
      <w:proofErr w:type="spellStart"/>
      <w:r w:rsidRPr="004A16E8">
        <w:rPr>
          <w:rFonts w:ascii="Arial" w:hAnsi="Arial" w:cs="Arial"/>
        </w:rPr>
        <w:t>Series</w:t>
      </w:r>
      <w:proofErr w:type="spellEnd"/>
      <w:r w:rsidRPr="004A16E8">
        <w:rPr>
          <w:rFonts w:ascii="Arial" w:hAnsi="Arial" w:cs="Arial"/>
        </w:rPr>
        <w:t xml:space="preserve"> 902, annexe 9).</w:t>
      </w:r>
    </w:p>
    <w:p w:rsidR="00CB36DD" w:rsidRPr="004A16E8" w:rsidRDefault="00CB36DD" w:rsidP="00CB36DD">
      <w:pPr>
        <w:spacing w:before="120" w:after="120" w:line="276" w:lineRule="auto"/>
        <w:jc w:val="both"/>
        <w:rPr>
          <w:rFonts w:ascii="Arial" w:hAnsi="Arial" w:cs="Arial"/>
          <w:b/>
        </w:rPr>
      </w:pPr>
      <w:r w:rsidRPr="004A16E8">
        <w:rPr>
          <w:rFonts w:ascii="Arial" w:hAnsi="Arial" w:cs="Arial"/>
          <w:b/>
        </w:rPr>
        <w:t xml:space="preserve">NOTE IMPORTANTE : Il est fortement recommandé que les mentions légales sur les conditionnements primaires (blisters, </w:t>
      </w:r>
      <w:proofErr w:type="spellStart"/>
      <w:r w:rsidRPr="004A16E8">
        <w:rPr>
          <w:rFonts w:ascii="Arial" w:hAnsi="Arial" w:cs="Arial"/>
          <w:b/>
        </w:rPr>
        <w:t>strip</w:t>
      </w:r>
      <w:proofErr w:type="spellEnd"/>
      <w:r w:rsidRPr="004A16E8">
        <w:rPr>
          <w:rFonts w:ascii="Arial" w:hAnsi="Arial" w:cs="Arial"/>
          <w:b/>
        </w:rPr>
        <w:t>, ampoules, flacon pour perfusion, etc.) soient gravées. A défaut celles-ci peuvent être imprimées à l’encre indélébile, donc non effaçables.</w:t>
      </w:r>
    </w:p>
    <w:p w:rsidR="00CB36DD" w:rsidRPr="004A16E8" w:rsidRDefault="00CB36DD" w:rsidP="00CB36DD">
      <w:pPr>
        <w:spacing w:before="120" w:after="120" w:line="276" w:lineRule="auto"/>
        <w:jc w:val="both"/>
        <w:rPr>
          <w:rFonts w:ascii="Arial" w:hAnsi="Arial" w:cs="Arial"/>
        </w:rPr>
      </w:pPr>
    </w:p>
    <w:tbl>
      <w:tblPr>
        <w:tblStyle w:val="Grilledutableau"/>
        <w:tblW w:w="6724" w:type="dxa"/>
        <w:jc w:val="center"/>
        <w:tblLook w:val="04A0" w:firstRow="1" w:lastRow="0" w:firstColumn="1" w:lastColumn="0" w:noHBand="0" w:noVBand="1"/>
      </w:tblPr>
      <w:tblGrid>
        <w:gridCol w:w="4471"/>
        <w:gridCol w:w="2253"/>
      </w:tblGrid>
      <w:tr w:rsidR="00CB36DD" w:rsidRPr="004A16E8" w:rsidTr="00A675CC">
        <w:trPr>
          <w:trHeight w:val="212"/>
          <w:jc w:val="center"/>
        </w:trPr>
        <w:tc>
          <w:tcPr>
            <w:tcW w:w="4471"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Type d’impression utilisé pour les mentions légales</w:t>
            </w:r>
          </w:p>
        </w:tc>
        <w:tc>
          <w:tcPr>
            <w:tcW w:w="2253"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Accepté/Refusé</w:t>
            </w:r>
          </w:p>
        </w:tc>
      </w:tr>
      <w:tr w:rsidR="00CB36DD" w:rsidRPr="004A16E8" w:rsidTr="00A675CC">
        <w:trPr>
          <w:trHeight w:val="218"/>
          <w:jc w:val="center"/>
        </w:trPr>
        <w:tc>
          <w:tcPr>
            <w:tcW w:w="4471"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Mentions gravées</w:t>
            </w:r>
          </w:p>
        </w:tc>
        <w:tc>
          <w:tcPr>
            <w:tcW w:w="2253"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Accepté</w:t>
            </w:r>
          </w:p>
        </w:tc>
      </w:tr>
      <w:tr w:rsidR="00CB36DD" w:rsidRPr="004A16E8" w:rsidTr="00A675CC">
        <w:trPr>
          <w:trHeight w:val="212"/>
          <w:jc w:val="center"/>
        </w:trPr>
        <w:tc>
          <w:tcPr>
            <w:tcW w:w="4471"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Impression à l’encre effaçable</w:t>
            </w:r>
          </w:p>
        </w:tc>
        <w:tc>
          <w:tcPr>
            <w:tcW w:w="2253"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Refusé</w:t>
            </w:r>
          </w:p>
        </w:tc>
      </w:tr>
      <w:tr w:rsidR="00CB36DD" w:rsidRPr="004A16E8" w:rsidTr="00A675CC">
        <w:trPr>
          <w:trHeight w:val="84"/>
          <w:jc w:val="center"/>
        </w:trPr>
        <w:tc>
          <w:tcPr>
            <w:tcW w:w="4471"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Impression à l’encre indélébile</w:t>
            </w:r>
          </w:p>
        </w:tc>
        <w:tc>
          <w:tcPr>
            <w:tcW w:w="2253" w:type="dxa"/>
          </w:tcPr>
          <w:p w:rsidR="00CB36DD" w:rsidRPr="005B6EE2" w:rsidRDefault="00CB36DD" w:rsidP="00A675CC">
            <w:pPr>
              <w:spacing w:before="120" w:after="120" w:line="276" w:lineRule="auto"/>
              <w:jc w:val="both"/>
              <w:rPr>
                <w:rFonts w:ascii="Arial" w:hAnsi="Arial" w:cs="Arial"/>
                <w:b/>
                <w:i/>
                <w:sz w:val="18"/>
              </w:rPr>
            </w:pPr>
            <w:r w:rsidRPr="005B6EE2">
              <w:rPr>
                <w:rFonts w:ascii="Arial" w:hAnsi="Arial" w:cs="Arial"/>
                <w:b/>
                <w:i/>
                <w:sz w:val="18"/>
              </w:rPr>
              <w:t>Accepté</w:t>
            </w:r>
          </w:p>
        </w:tc>
      </w:tr>
    </w:tbl>
    <w:p w:rsidR="00CB36DD" w:rsidRPr="004A16E8" w:rsidRDefault="00CB36DD" w:rsidP="00CB36DD">
      <w:pPr>
        <w:pStyle w:val="Titre2"/>
        <w:numPr>
          <w:ilvl w:val="0"/>
          <w:numId w:val="9"/>
        </w:numPr>
        <w:spacing w:before="120" w:after="120" w:line="276" w:lineRule="auto"/>
        <w:ind w:hanging="720"/>
        <w:rPr>
          <w:rFonts w:ascii="Arial" w:hAnsi="Arial" w:cs="Arial"/>
          <w:sz w:val="24"/>
          <w:szCs w:val="24"/>
        </w:rPr>
      </w:pPr>
      <w:bookmarkStart w:id="29" w:name="_Toc335891921"/>
      <w:bookmarkStart w:id="30" w:name="_Toc335915583"/>
      <w:bookmarkStart w:id="31" w:name="_Toc117431430"/>
      <w:bookmarkStart w:id="32" w:name="_Toc118207979"/>
      <w:r w:rsidRPr="004A16E8">
        <w:rPr>
          <w:rFonts w:ascii="Arial" w:hAnsi="Arial" w:cs="Arial"/>
          <w:sz w:val="24"/>
          <w:szCs w:val="24"/>
        </w:rPr>
        <w:t>Présentation des formes orales sèches (comprimés et gélules)</w:t>
      </w:r>
      <w:bookmarkEnd w:id="29"/>
      <w:bookmarkEnd w:id="30"/>
      <w:bookmarkEnd w:id="31"/>
      <w:bookmarkEnd w:id="32"/>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Les comprimés et gélules doivent être présentés sous conditionnement </w:t>
      </w:r>
      <w:proofErr w:type="spellStart"/>
      <w:r w:rsidRPr="004A16E8">
        <w:rPr>
          <w:rFonts w:ascii="Arial" w:hAnsi="Arial" w:cs="Arial"/>
        </w:rPr>
        <w:t>unitarisé</w:t>
      </w:r>
      <w:proofErr w:type="spellEnd"/>
      <w:r w:rsidRPr="004A16E8">
        <w:rPr>
          <w:rFonts w:ascii="Arial" w:hAnsi="Arial" w:cs="Arial"/>
        </w:rPr>
        <w:t xml:space="preserve">. La préférence sera donnée lors de l’analyse des prix aux conditionnements </w:t>
      </w:r>
      <w:proofErr w:type="spellStart"/>
      <w:r w:rsidRPr="004A16E8">
        <w:rPr>
          <w:rFonts w:ascii="Arial" w:hAnsi="Arial" w:cs="Arial"/>
        </w:rPr>
        <w:t>unitarisés</w:t>
      </w:r>
      <w:proofErr w:type="spellEnd"/>
      <w:r w:rsidRPr="004A16E8">
        <w:rPr>
          <w:rFonts w:ascii="Arial" w:hAnsi="Arial" w:cs="Arial"/>
        </w:rPr>
        <w:t xml:space="preserve"> (blisters ou </w:t>
      </w:r>
      <w:proofErr w:type="spellStart"/>
      <w:r w:rsidRPr="004A16E8">
        <w:rPr>
          <w:rFonts w:ascii="Arial" w:hAnsi="Arial" w:cs="Arial"/>
        </w:rPr>
        <w:t>strips</w:t>
      </w:r>
      <w:proofErr w:type="spellEnd"/>
      <w:r w:rsidRPr="004A16E8">
        <w:rPr>
          <w:rFonts w:ascii="Arial" w:hAnsi="Arial" w:cs="Arial"/>
        </w:rPr>
        <w:t>). Les conditionnements en vrac ne sont pas acceptés. (Cf. Liste des fournitures).</w:t>
      </w:r>
    </w:p>
    <w:tbl>
      <w:tblPr>
        <w:tblStyle w:val="Grilledutableau"/>
        <w:tblW w:w="0" w:type="auto"/>
        <w:tblLook w:val="04A0" w:firstRow="1" w:lastRow="0" w:firstColumn="1" w:lastColumn="0" w:noHBand="0" w:noVBand="1"/>
      </w:tblPr>
      <w:tblGrid>
        <w:gridCol w:w="4582"/>
        <w:gridCol w:w="4480"/>
      </w:tblGrid>
      <w:tr w:rsidR="00CB36DD" w:rsidRPr="004A16E8" w:rsidTr="00A675CC">
        <w:tc>
          <w:tcPr>
            <w:tcW w:w="4956"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Type de présentation des formes orales</w:t>
            </w:r>
          </w:p>
        </w:tc>
        <w:tc>
          <w:tcPr>
            <w:tcW w:w="4956"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Accepté/Refusé</w:t>
            </w:r>
          </w:p>
        </w:tc>
      </w:tr>
      <w:tr w:rsidR="00CB36DD" w:rsidRPr="004A16E8" w:rsidTr="00A675CC">
        <w:tc>
          <w:tcPr>
            <w:tcW w:w="4956" w:type="dxa"/>
          </w:tcPr>
          <w:p w:rsidR="00CB36DD" w:rsidRPr="004A16E8" w:rsidRDefault="00CB36DD" w:rsidP="00A675CC">
            <w:pPr>
              <w:spacing w:before="120" w:after="120" w:line="276" w:lineRule="auto"/>
              <w:jc w:val="both"/>
              <w:rPr>
                <w:rFonts w:ascii="Arial" w:hAnsi="Arial" w:cs="Arial"/>
              </w:rPr>
            </w:pPr>
            <w:r w:rsidRPr="005B6EE2">
              <w:rPr>
                <w:rFonts w:ascii="Arial" w:hAnsi="Arial" w:cs="Arial"/>
                <w:noProof/>
              </w:rPr>
              <w:lastRenderedPageBreak/>
              <w:drawing>
                <wp:inline distT="0" distB="0" distL="0" distR="0" wp14:anchorId="63910C60" wp14:editId="4E94AC92">
                  <wp:extent cx="1323975" cy="1114425"/>
                  <wp:effectExtent l="0" t="0" r="9525" b="952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323975" cy="1114425"/>
                          </a:xfrm>
                          <a:prstGeom prst="rect">
                            <a:avLst/>
                          </a:prstGeom>
                          <a:noFill/>
                        </pic:spPr>
                      </pic:pic>
                    </a:graphicData>
                  </a:graphic>
                </wp:inline>
              </w:drawing>
            </w:r>
          </w:p>
          <w:p w:rsidR="00CB36DD" w:rsidRPr="004A16E8" w:rsidRDefault="00CB36DD" w:rsidP="00A675CC">
            <w:pPr>
              <w:spacing w:before="120" w:after="120" w:line="276" w:lineRule="auto"/>
              <w:jc w:val="both"/>
              <w:rPr>
                <w:rFonts w:ascii="Arial" w:hAnsi="Arial" w:cs="Arial"/>
              </w:rPr>
            </w:pPr>
            <w:r w:rsidRPr="004A16E8">
              <w:rPr>
                <w:rFonts w:ascii="Arial" w:hAnsi="Arial" w:cs="Arial"/>
              </w:rPr>
              <w:t>Comprimés ou gélules sous flacon</w:t>
            </w:r>
          </w:p>
        </w:tc>
        <w:tc>
          <w:tcPr>
            <w:tcW w:w="4956"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Refusé</w:t>
            </w:r>
          </w:p>
        </w:tc>
      </w:tr>
      <w:tr w:rsidR="00CB36DD" w:rsidRPr="004A16E8" w:rsidTr="00A675CC">
        <w:tc>
          <w:tcPr>
            <w:tcW w:w="4956" w:type="dxa"/>
          </w:tcPr>
          <w:p w:rsidR="00CB36DD" w:rsidRPr="004A16E8" w:rsidRDefault="00CB36DD" w:rsidP="00A675CC">
            <w:pPr>
              <w:spacing w:before="120" w:after="120" w:line="276" w:lineRule="auto"/>
              <w:jc w:val="both"/>
              <w:rPr>
                <w:rFonts w:ascii="Arial" w:hAnsi="Arial" w:cs="Arial"/>
              </w:rPr>
            </w:pPr>
            <w:r w:rsidRPr="005B6EE2">
              <w:rPr>
                <w:rFonts w:ascii="Arial" w:hAnsi="Arial" w:cs="Arial"/>
                <w:noProof/>
              </w:rPr>
              <w:drawing>
                <wp:inline distT="0" distB="0" distL="0" distR="0" wp14:anchorId="38AD33E2" wp14:editId="67AC2C95">
                  <wp:extent cx="1352550" cy="15240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2401" cy="1535100"/>
                          </a:xfrm>
                          <a:prstGeom prst="rect">
                            <a:avLst/>
                          </a:prstGeom>
                          <a:noFill/>
                        </pic:spPr>
                      </pic:pic>
                    </a:graphicData>
                  </a:graphic>
                </wp:inline>
              </w:drawing>
            </w:r>
          </w:p>
          <w:p w:rsidR="00CB36DD" w:rsidRPr="004A16E8" w:rsidRDefault="00CB36DD" w:rsidP="00A675CC">
            <w:pPr>
              <w:spacing w:before="120" w:after="120" w:line="276" w:lineRule="auto"/>
              <w:jc w:val="both"/>
              <w:rPr>
                <w:rFonts w:ascii="Arial" w:hAnsi="Arial" w:cs="Arial"/>
              </w:rPr>
            </w:pPr>
            <w:r w:rsidRPr="004A16E8">
              <w:rPr>
                <w:rFonts w:ascii="Arial" w:hAnsi="Arial" w:cs="Arial"/>
              </w:rPr>
              <w:t>Comprimés ou gélules en blister</w:t>
            </w:r>
          </w:p>
        </w:tc>
        <w:tc>
          <w:tcPr>
            <w:tcW w:w="4956"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w:t>
            </w:r>
          </w:p>
        </w:tc>
      </w:tr>
      <w:tr w:rsidR="00CB36DD" w:rsidRPr="004A16E8" w:rsidTr="00A675CC">
        <w:tc>
          <w:tcPr>
            <w:tcW w:w="4956" w:type="dxa"/>
          </w:tcPr>
          <w:p w:rsidR="00CB36DD" w:rsidRPr="004A16E8" w:rsidRDefault="00CB36DD" w:rsidP="00A675CC">
            <w:pPr>
              <w:spacing w:before="120" w:after="120" w:line="276" w:lineRule="auto"/>
              <w:jc w:val="both"/>
              <w:rPr>
                <w:rFonts w:ascii="Arial" w:hAnsi="Arial" w:cs="Arial"/>
              </w:rPr>
            </w:pPr>
            <w:r w:rsidRPr="005B6EE2">
              <w:rPr>
                <w:rFonts w:ascii="Arial" w:hAnsi="Arial" w:cs="Arial"/>
                <w:noProof/>
              </w:rPr>
              <w:drawing>
                <wp:inline distT="0" distB="0" distL="0" distR="0" wp14:anchorId="533734E8" wp14:editId="07F58DE3">
                  <wp:extent cx="1171148" cy="117094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8992" cy="1198779"/>
                          </a:xfrm>
                          <a:prstGeom prst="rect">
                            <a:avLst/>
                          </a:prstGeom>
                          <a:noFill/>
                        </pic:spPr>
                      </pic:pic>
                    </a:graphicData>
                  </a:graphic>
                </wp:inline>
              </w:drawing>
            </w:r>
          </w:p>
          <w:p w:rsidR="00CB36DD" w:rsidRPr="004A16E8" w:rsidRDefault="00CB36DD" w:rsidP="00A675CC">
            <w:pPr>
              <w:spacing w:before="120" w:after="120" w:line="276" w:lineRule="auto"/>
              <w:jc w:val="both"/>
              <w:rPr>
                <w:rFonts w:ascii="Arial" w:hAnsi="Arial" w:cs="Arial"/>
              </w:rPr>
            </w:pPr>
            <w:r w:rsidRPr="004A16E8">
              <w:rPr>
                <w:rFonts w:ascii="Arial" w:hAnsi="Arial" w:cs="Arial"/>
              </w:rPr>
              <w:t xml:space="preserve">Comprimés ou Gélules en </w:t>
            </w:r>
            <w:proofErr w:type="spellStart"/>
            <w:r w:rsidRPr="004A16E8">
              <w:rPr>
                <w:rFonts w:ascii="Arial" w:hAnsi="Arial" w:cs="Arial"/>
              </w:rPr>
              <w:t>strip</w:t>
            </w:r>
            <w:proofErr w:type="spellEnd"/>
          </w:p>
        </w:tc>
        <w:tc>
          <w:tcPr>
            <w:tcW w:w="4956"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w:t>
            </w:r>
          </w:p>
        </w:tc>
      </w:tr>
    </w:tbl>
    <w:p w:rsidR="00CB36DD" w:rsidRPr="004A16E8" w:rsidRDefault="00CB36DD" w:rsidP="00CB36DD">
      <w:pPr>
        <w:spacing w:before="120" w:after="120" w:line="276" w:lineRule="auto"/>
        <w:jc w:val="both"/>
        <w:rPr>
          <w:rFonts w:ascii="Arial" w:hAnsi="Arial" w:cs="Arial"/>
        </w:rPr>
      </w:pP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3" w:name="_Toc335915585"/>
      <w:r w:rsidRPr="004A16E8">
        <w:rPr>
          <w:rFonts w:ascii="Arial" w:hAnsi="Arial" w:cs="Arial"/>
        </w:rPr>
        <w:t xml:space="preserve">Présentation sous conditionnement </w:t>
      </w:r>
      <w:proofErr w:type="spellStart"/>
      <w:r w:rsidRPr="004A16E8">
        <w:rPr>
          <w:rFonts w:ascii="Arial" w:hAnsi="Arial" w:cs="Arial"/>
        </w:rPr>
        <w:t>unitarisé</w:t>
      </w:r>
      <w:proofErr w:type="spellEnd"/>
      <w:r w:rsidRPr="004A16E8">
        <w:rPr>
          <w:rFonts w:ascii="Arial" w:hAnsi="Arial" w:cs="Arial"/>
        </w:rPr>
        <w:t xml:space="preserve"> :</w:t>
      </w:r>
      <w:bookmarkEnd w:id="33"/>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Le conditionnement </w:t>
      </w:r>
      <w:proofErr w:type="spellStart"/>
      <w:r w:rsidRPr="004A16E8">
        <w:rPr>
          <w:rFonts w:ascii="Arial" w:hAnsi="Arial" w:cs="Arial"/>
        </w:rPr>
        <w:t>unitarisé</w:t>
      </w:r>
      <w:proofErr w:type="spellEnd"/>
      <w:r w:rsidRPr="004A16E8">
        <w:rPr>
          <w:rFonts w:ascii="Arial" w:hAnsi="Arial" w:cs="Arial"/>
        </w:rPr>
        <w:t xml:space="preserve"> se fera selon l’une des options suivantes :</w:t>
      </w:r>
    </w:p>
    <w:p w:rsidR="00CB36DD" w:rsidRPr="004A16E8" w:rsidRDefault="00CB36DD" w:rsidP="00CB36DD">
      <w:pPr>
        <w:numPr>
          <w:ilvl w:val="0"/>
          <w:numId w:val="12"/>
        </w:numPr>
        <w:suppressAutoHyphens/>
        <w:spacing w:before="120" w:after="120" w:line="276" w:lineRule="auto"/>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film transparent ;</w:t>
      </w:r>
    </w:p>
    <w:p w:rsidR="00CB36DD" w:rsidRPr="004A16E8" w:rsidRDefault="00CB36DD" w:rsidP="00CB36DD">
      <w:pPr>
        <w:numPr>
          <w:ilvl w:val="0"/>
          <w:numId w:val="12"/>
        </w:numPr>
        <w:suppressAutoHyphens/>
        <w:spacing w:before="120" w:after="120" w:line="276" w:lineRule="auto"/>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film opaque ;</w:t>
      </w:r>
    </w:p>
    <w:p w:rsidR="00CB36DD" w:rsidRPr="004A16E8" w:rsidRDefault="00CB36DD" w:rsidP="00CB36DD">
      <w:pPr>
        <w:numPr>
          <w:ilvl w:val="0"/>
          <w:numId w:val="12"/>
        </w:numPr>
        <w:suppressAutoHyphens/>
        <w:spacing w:before="120" w:after="120" w:line="276" w:lineRule="auto"/>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plaque (blister) ;</w:t>
      </w:r>
    </w:p>
    <w:p w:rsidR="00CB36DD" w:rsidRPr="004A16E8" w:rsidRDefault="00CB36DD" w:rsidP="00CB36DD">
      <w:pPr>
        <w:numPr>
          <w:ilvl w:val="0"/>
          <w:numId w:val="12"/>
        </w:numPr>
        <w:suppressAutoHyphens/>
        <w:spacing w:before="120" w:after="120" w:line="276" w:lineRule="auto"/>
        <w:jc w:val="both"/>
        <w:rPr>
          <w:rFonts w:ascii="Arial" w:hAnsi="Arial" w:cs="Arial"/>
        </w:rPr>
      </w:pPr>
      <w:proofErr w:type="gramStart"/>
      <w:r w:rsidRPr="004A16E8">
        <w:rPr>
          <w:rFonts w:ascii="Arial" w:hAnsi="Arial" w:cs="Arial"/>
        </w:rPr>
        <w:t>sous</w:t>
      </w:r>
      <w:proofErr w:type="gramEnd"/>
      <w:r w:rsidRPr="004A16E8">
        <w:rPr>
          <w:rFonts w:ascii="Arial" w:hAnsi="Arial" w:cs="Arial"/>
        </w:rPr>
        <w:t xml:space="preserve"> plaque avec alvéoles individualisées ou </w:t>
      </w:r>
      <w:proofErr w:type="spellStart"/>
      <w:r w:rsidRPr="004A16E8">
        <w:rPr>
          <w:rFonts w:ascii="Arial" w:hAnsi="Arial" w:cs="Arial"/>
          <w:i/>
          <w:iCs/>
        </w:rPr>
        <w:t>strip</w:t>
      </w:r>
      <w:proofErr w:type="spellEnd"/>
      <w:r w:rsidRPr="004A16E8">
        <w:rPr>
          <w:rFonts w:ascii="Arial" w:hAnsi="Arial" w:cs="Arial"/>
        </w:rPr>
        <w:t>, chaque alvéole comportant toutes les informations permettant l’identification du produit et du lot.</w:t>
      </w:r>
    </w:p>
    <w:p w:rsidR="00CB36DD" w:rsidRPr="004A16E8" w:rsidRDefault="00CB36DD" w:rsidP="00CB36DD">
      <w:pPr>
        <w:numPr>
          <w:ilvl w:val="0"/>
          <w:numId w:val="12"/>
        </w:numPr>
        <w:suppressAutoHyphens/>
        <w:spacing w:before="120" w:after="120" w:line="276" w:lineRule="auto"/>
        <w:jc w:val="both"/>
        <w:rPr>
          <w:rFonts w:ascii="Arial" w:hAnsi="Arial" w:cs="Arial"/>
        </w:rPr>
      </w:pPr>
      <w:r w:rsidRPr="004A16E8">
        <w:rPr>
          <w:rFonts w:ascii="Arial" w:hAnsi="Arial" w:cs="Arial"/>
          <w:b/>
        </w:rPr>
        <w:t xml:space="preserve">Il est fortement recommandé que les mentions légales sur les conditionnements primaires (blisters, </w:t>
      </w:r>
      <w:proofErr w:type="spellStart"/>
      <w:r w:rsidRPr="004A16E8">
        <w:rPr>
          <w:rFonts w:ascii="Arial" w:hAnsi="Arial" w:cs="Arial"/>
          <w:b/>
        </w:rPr>
        <w:t>strip</w:t>
      </w:r>
      <w:proofErr w:type="spellEnd"/>
      <w:r w:rsidRPr="004A16E8">
        <w:rPr>
          <w:rFonts w:ascii="Arial" w:hAnsi="Arial" w:cs="Arial"/>
          <w:b/>
        </w:rPr>
        <w:t>) soient gravées. A défaut celles-ci peuvent être imprimées à l’encre indélébile, non effaçables.</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L’option retenue par le candidat et les matériaux utilisés pour la fabrication des films ou plaques devront garantir une bonne conservation des produits dans les conditions climatiques de Madagascar : résistance selon la nature chimique des médicaments, à l’air, à l’humidité, à la lumière et à la chaleur.</w:t>
      </w:r>
    </w:p>
    <w:p w:rsidR="00CB36DD" w:rsidRPr="004A16E8" w:rsidRDefault="00CB36DD" w:rsidP="00CB36DD">
      <w:pPr>
        <w:numPr>
          <w:ilvl w:val="0"/>
          <w:numId w:val="11"/>
        </w:numPr>
        <w:suppressAutoHyphens/>
        <w:spacing w:before="120" w:after="120" w:line="276" w:lineRule="auto"/>
        <w:jc w:val="both"/>
        <w:rPr>
          <w:rFonts w:ascii="Arial" w:hAnsi="Arial" w:cs="Arial"/>
        </w:rPr>
      </w:pPr>
      <w:r w:rsidRPr="004A16E8">
        <w:rPr>
          <w:rFonts w:ascii="Arial" w:hAnsi="Arial" w:cs="Arial"/>
        </w:rPr>
        <w:lastRenderedPageBreak/>
        <w:t>Afin de pouvoir juger de la pertinence de ses propositions, le candidat fournira toute la documentation technique s’y rapportant, ainsi que les références requises (pharmacopées, etc.).</w:t>
      </w: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4" w:name="_Toc335915586"/>
      <w:r w:rsidRPr="004A16E8">
        <w:rPr>
          <w:rFonts w:ascii="Arial" w:hAnsi="Arial" w:cs="Arial"/>
        </w:rPr>
        <w:t>Présentation des formes injectables</w:t>
      </w:r>
      <w:bookmarkEnd w:id="34"/>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Sauf indications contraires pour un produit particulier, les solutions injectables seront conditionnées, soit en ampoules deux pointes, soit en ampoules bouteilles. Les solutions d’un volume égal ou supérieur à 5 ml seront obligatoirement présentées en ampoules bouteilles. Les deux formes d’ampoules acceptées seront autocassables.</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Les poudres pour reconstitution des solutions ou de suspensions pour injection seront conditionnées en flacons de verre individuels (</w:t>
      </w:r>
      <w:proofErr w:type="spellStart"/>
      <w:r w:rsidRPr="004A16E8">
        <w:rPr>
          <w:rFonts w:ascii="Arial" w:hAnsi="Arial" w:cs="Arial"/>
        </w:rPr>
        <w:t>vials</w:t>
      </w:r>
      <w:proofErr w:type="spellEnd"/>
      <w:r w:rsidRPr="004A16E8">
        <w:rPr>
          <w:rFonts w:ascii="Arial" w:hAnsi="Arial" w:cs="Arial"/>
        </w:rPr>
        <w:t xml:space="preserve">) munis de bouchon et de capsule </w:t>
      </w:r>
      <w:proofErr w:type="spellStart"/>
      <w:r w:rsidRPr="004A16E8">
        <w:rPr>
          <w:rFonts w:ascii="Arial" w:hAnsi="Arial" w:cs="Arial"/>
        </w:rPr>
        <w:t>Flipp</w:t>
      </w:r>
      <w:proofErr w:type="spellEnd"/>
      <w:r w:rsidRPr="004A16E8">
        <w:rPr>
          <w:rFonts w:ascii="Arial" w:hAnsi="Arial" w:cs="Arial"/>
        </w:rPr>
        <w:t>-Off en aluminium/plastique.</w:t>
      </w:r>
    </w:p>
    <w:p w:rsidR="00CB36DD" w:rsidRPr="004A16E8" w:rsidRDefault="00CB36DD" w:rsidP="00CB36DD">
      <w:pPr>
        <w:pStyle w:val="Corpsdetexte3"/>
        <w:spacing w:before="120" w:after="120" w:line="276" w:lineRule="auto"/>
        <w:jc w:val="both"/>
        <w:rPr>
          <w:rFonts w:ascii="Arial" w:hAnsi="Arial" w:cs="Arial"/>
        </w:rPr>
      </w:pPr>
    </w:p>
    <w:p w:rsidR="00CB36DD" w:rsidRPr="004A16E8" w:rsidRDefault="00CB36DD" w:rsidP="00CB36DD">
      <w:pPr>
        <w:pStyle w:val="Corpsdetexte3"/>
        <w:spacing w:before="120" w:after="120" w:line="276" w:lineRule="auto"/>
        <w:jc w:val="center"/>
        <w:rPr>
          <w:rFonts w:ascii="Arial" w:hAnsi="Arial" w:cs="Arial"/>
        </w:rPr>
      </w:pPr>
      <w:r w:rsidRPr="005B6EE2">
        <w:rPr>
          <w:rFonts w:ascii="Arial" w:hAnsi="Arial" w:cs="Arial"/>
          <w:noProof/>
        </w:rPr>
        <w:drawing>
          <wp:inline distT="0" distB="0" distL="0" distR="0" wp14:anchorId="7250FCA0" wp14:editId="27F88B0D">
            <wp:extent cx="1266092" cy="209804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9" cy="2146622"/>
                    </a:xfrm>
                    <a:prstGeom prst="rect">
                      <a:avLst/>
                    </a:prstGeom>
                    <a:noFill/>
                    <a:ln>
                      <a:noFill/>
                    </a:ln>
                  </pic:spPr>
                </pic:pic>
              </a:graphicData>
            </a:graphic>
          </wp:inline>
        </w:drawing>
      </w:r>
    </w:p>
    <w:p w:rsidR="00CB36DD" w:rsidRPr="005B6EE2" w:rsidRDefault="00CB36DD" w:rsidP="00CB36DD">
      <w:pPr>
        <w:pStyle w:val="Corpsdetexte3"/>
        <w:spacing w:before="120" w:after="120" w:line="276" w:lineRule="auto"/>
        <w:jc w:val="center"/>
        <w:rPr>
          <w:rFonts w:ascii="Arial" w:hAnsi="Arial" w:cs="Arial"/>
          <w:i/>
        </w:rPr>
      </w:pPr>
      <w:r w:rsidRPr="005B6EE2">
        <w:rPr>
          <w:rFonts w:ascii="Arial" w:hAnsi="Arial" w:cs="Arial"/>
          <w:i/>
        </w:rPr>
        <w:t xml:space="preserve">Capsule </w:t>
      </w:r>
      <w:proofErr w:type="spellStart"/>
      <w:r w:rsidRPr="005B6EE2">
        <w:rPr>
          <w:rFonts w:ascii="Arial" w:hAnsi="Arial" w:cs="Arial"/>
          <w:i/>
        </w:rPr>
        <w:t>Fipp</w:t>
      </w:r>
      <w:proofErr w:type="spellEnd"/>
      <w:r w:rsidRPr="005B6EE2">
        <w:rPr>
          <w:rFonts w:ascii="Arial" w:hAnsi="Arial" w:cs="Arial"/>
          <w:i/>
        </w:rPr>
        <w:t>-Off</w:t>
      </w:r>
    </w:p>
    <w:p w:rsidR="00CB36DD" w:rsidRPr="004A16E8" w:rsidRDefault="00CB36DD" w:rsidP="00CB36DD">
      <w:pPr>
        <w:pStyle w:val="Corpsdetexte3"/>
        <w:spacing w:before="120" w:after="120" w:line="276" w:lineRule="auto"/>
        <w:jc w:val="both"/>
        <w:rPr>
          <w:rFonts w:ascii="Arial" w:hAnsi="Arial" w:cs="Arial"/>
        </w:rPr>
      </w:pP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L’eau pour préparations injectables sera conditionnée en flacons plastiques semi-rigides équipés d’un opercule à ouverture facilitée.</w:t>
      </w: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5" w:name="_Toc335915587"/>
      <w:bookmarkStart w:id="36" w:name="_Hlk117437102"/>
      <w:r w:rsidRPr="004A16E8">
        <w:rPr>
          <w:rFonts w:ascii="Arial" w:hAnsi="Arial" w:cs="Arial"/>
        </w:rPr>
        <w:t>Présentation des solutés pour perfusion</w:t>
      </w:r>
      <w:bookmarkEnd w:id="35"/>
    </w:p>
    <w:bookmarkEnd w:id="36"/>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Sauf indications contraires pour un produit particulier, les solutés pour perfusion seront conditionnés selon l’un des procédés suivants :</w:t>
      </w:r>
    </w:p>
    <w:p w:rsidR="00CB36DD" w:rsidRPr="004A16E8" w:rsidRDefault="00CB36DD" w:rsidP="00CB36DD">
      <w:pPr>
        <w:numPr>
          <w:ilvl w:val="0"/>
          <w:numId w:val="13"/>
        </w:numPr>
        <w:suppressAutoHyphens/>
        <w:spacing w:before="120" w:after="120" w:line="276" w:lineRule="auto"/>
        <w:jc w:val="both"/>
        <w:rPr>
          <w:rFonts w:ascii="Arial" w:hAnsi="Arial" w:cs="Arial"/>
        </w:rPr>
      </w:pPr>
      <w:proofErr w:type="gramStart"/>
      <w:r w:rsidRPr="004A16E8">
        <w:rPr>
          <w:rFonts w:ascii="Arial" w:hAnsi="Arial" w:cs="Arial"/>
        </w:rPr>
        <w:t>soit</w:t>
      </w:r>
      <w:proofErr w:type="gramEnd"/>
      <w:r w:rsidRPr="004A16E8">
        <w:rPr>
          <w:rFonts w:ascii="Arial" w:hAnsi="Arial" w:cs="Arial"/>
        </w:rPr>
        <w:t xml:space="preserve"> en </w:t>
      </w:r>
      <w:r w:rsidRPr="004A16E8">
        <w:rPr>
          <w:rFonts w:ascii="Arial" w:hAnsi="Arial" w:cs="Arial"/>
          <w:i/>
          <w:u w:val="single"/>
        </w:rPr>
        <w:t>poches souples</w:t>
      </w:r>
      <w:r w:rsidRPr="004A16E8">
        <w:rPr>
          <w:rFonts w:ascii="Arial" w:hAnsi="Arial" w:cs="Arial"/>
        </w:rPr>
        <w:t>, confectionnées en matériau conforme à la Pharmacopée Européenne ou dans tout autre complexe (formule à indiquer et Pharmacopées ou Normes de référence à préciser), conditionnées selon un système de double emballage ;</w:t>
      </w:r>
    </w:p>
    <w:p w:rsidR="00CB36DD" w:rsidRPr="004A16E8" w:rsidRDefault="00CB36DD" w:rsidP="00CB36DD">
      <w:pPr>
        <w:numPr>
          <w:ilvl w:val="0"/>
          <w:numId w:val="13"/>
        </w:numPr>
        <w:suppressAutoHyphens/>
        <w:spacing w:before="120" w:after="120" w:line="276" w:lineRule="auto"/>
        <w:jc w:val="both"/>
        <w:rPr>
          <w:rFonts w:ascii="Arial" w:hAnsi="Arial" w:cs="Arial"/>
        </w:rPr>
      </w:pPr>
      <w:proofErr w:type="gramStart"/>
      <w:r w:rsidRPr="004A16E8">
        <w:rPr>
          <w:rFonts w:ascii="Arial" w:hAnsi="Arial" w:cs="Arial"/>
        </w:rPr>
        <w:t>soit</w:t>
      </w:r>
      <w:proofErr w:type="gramEnd"/>
      <w:r w:rsidRPr="004A16E8">
        <w:rPr>
          <w:rFonts w:ascii="Arial" w:hAnsi="Arial" w:cs="Arial"/>
        </w:rPr>
        <w:t xml:space="preserve"> en </w:t>
      </w:r>
      <w:r w:rsidRPr="004A16E8">
        <w:rPr>
          <w:rFonts w:ascii="Arial" w:hAnsi="Arial" w:cs="Arial"/>
          <w:i/>
          <w:u w:val="single"/>
        </w:rPr>
        <w:t>flacons plastiques rigides ou semi-rigides</w:t>
      </w:r>
      <w:r w:rsidRPr="004A16E8">
        <w:rPr>
          <w:rFonts w:ascii="Arial" w:hAnsi="Arial" w:cs="Arial"/>
        </w:rPr>
        <w:t>, conformes à la Pharmacopée Européenne.</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bouchons des flacons devront être en une matière permettant de garantir l’étanchéité à l’utilisation (EURO HEAD). Les flacons de type « NIPPLE HEAD » ne seront pas admis sauf avis contraire du comité technique d’évaluation.</w:t>
      </w:r>
    </w:p>
    <w:tbl>
      <w:tblPr>
        <w:tblStyle w:val="Grilledutableau"/>
        <w:tblW w:w="0" w:type="auto"/>
        <w:tblLook w:val="04A0" w:firstRow="1" w:lastRow="0" w:firstColumn="1" w:lastColumn="0" w:noHBand="0" w:noVBand="1"/>
      </w:tblPr>
      <w:tblGrid>
        <w:gridCol w:w="5352"/>
        <w:gridCol w:w="3710"/>
      </w:tblGrid>
      <w:tr w:rsidR="00CB36DD" w:rsidRPr="004A16E8" w:rsidTr="00A675CC">
        <w:tc>
          <w:tcPr>
            <w:tcW w:w="5807"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Système de fermeture de flacon pour solutés de perfusion</w:t>
            </w:r>
          </w:p>
        </w:tc>
        <w:tc>
          <w:tcPr>
            <w:tcW w:w="4105"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Accepté/Refusé</w:t>
            </w:r>
          </w:p>
        </w:tc>
      </w:tr>
      <w:tr w:rsidR="00CB36DD" w:rsidRPr="004A16E8" w:rsidTr="00A675CC">
        <w:tc>
          <w:tcPr>
            <w:tcW w:w="5807" w:type="dxa"/>
          </w:tcPr>
          <w:p w:rsidR="00CB36DD" w:rsidRPr="005B6EE2" w:rsidRDefault="00CB36DD" w:rsidP="00A675CC">
            <w:pPr>
              <w:spacing w:before="120" w:after="120" w:line="276" w:lineRule="auto"/>
              <w:jc w:val="both"/>
              <w:rPr>
                <w:rFonts w:ascii="Arial" w:hAnsi="Arial" w:cs="Arial"/>
              </w:rPr>
            </w:pPr>
            <w:r w:rsidRPr="005B6EE2">
              <w:rPr>
                <w:rFonts w:ascii="Arial" w:eastAsiaTheme="minorHAnsi" w:hAnsi="Arial" w:cs="Arial"/>
                <w:sz w:val="22"/>
                <w:szCs w:val="22"/>
                <w:lang w:eastAsia="en-US"/>
              </w:rPr>
              <w:object w:dxaOrig="2730" w:dyaOrig="3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17.75pt" o:ole="">
                  <v:imagedata r:id="rId9" o:title=""/>
                </v:shape>
                <o:OLEObject Type="Embed" ProgID="PBrush" ShapeID="_x0000_i1025" DrawAspect="Content" ObjectID="_1770710203" r:id="rId10"/>
              </w:object>
            </w:r>
          </w:p>
          <w:p w:rsidR="00CB36DD" w:rsidRPr="004A16E8" w:rsidRDefault="00CB36DD" w:rsidP="00A675CC">
            <w:pPr>
              <w:spacing w:before="120" w:after="120" w:line="276" w:lineRule="auto"/>
              <w:jc w:val="both"/>
              <w:rPr>
                <w:rFonts w:ascii="Arial" w:hAnsi="Arial" w:cs="Arial"/>
              </w:rPr>
            </w:pPr>
            <w:r w:rsidRPr="005B6EE2">
              <w:rPr>
                <w:rFonts w:ascii="Arial" w:hAnsi="Arial" w:cs="Arial"/>
              </w:rPr>
              <w:t>BOUCHON FOIL DOUBLE PORT</w:t>
            </w:r>
          </w:p>
        </w:tc>
        <w:tc>
          <w:tcPr>
            <w:tcW w:w="4105"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w:t>
            </w:r>
          </w:p>
        </w:tc>
      </w:tr>
      <w:tr w:rsidR="00CB36DD" w:rsidRPr="004A16E8" w:rsidTr="00A675CC">
        <w:tc>
          <w:tcPr>
            <w:tcW w:w="5807" w:type="dxa"/>
          </w:tcPr>
          <w:p w:rsidR="00CB36DD" w:rsidRPr="004A16E8" w:rsidRDefault="00CB36DD" w:rsidP="00A675CC">
            <w:pPr>
              <w:spacing w:before="120" w:after="120" w:line="276" w:lineRule="auto"/>
              <w:jc w:val="both"/>
              <w:rPr>
                <w:rFonts w:ascii="Arial" w:hAnsi="Arial" w:cs="Arial"/>
              </w:rPr>
            </w:pPr>
            <w:r w:rsidRPr="005B6EE2">
              <w:rPr>
                <w:rFonts w:ascii="Arial" w:eastAsiaTheme="minorHAnsi" w:hAnsi="Arial" w:cs="Arial"/>
                <w:sz w:val="22"/>
                <w:szCs w:val="22"/>
                <w:lang w:eastAsia="en-US"/>
              </w:rPr>
              <w:object w:dxaOrig="4680" w:dyaOrig="4155">
                <v:shape id="_x0000_i1026" type="#_x0000_t75" style="width:126.75pt;height:121.5pt" o:ole="">
                  <v:imagedata r:id="rId11" o:title=""/>
                </v:shape>
                <o:OLEObject Type="Embed" ProgID="PBrush" ShapeID="_x0000_i1026" DrawAspect="Content" ObjectID="_1770710204" r:id="rId12"/>
              </w:object>
            </w:r>
          </w:p>
        </w:tc>
        <w:tc>
          <w:tcPr>
            <w:tcW w:w="4105"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Accepté</w:t>
            </w:r>
          </w:p>
        </w:tc>
      </w:tr>
      <w:tr w:rsidR="00CB36DD" w:rsidRPr="004A16E8" w:rsidTr="00A675CC">
        <w:tc>
          <w:tcPr>
            <w:tcW w:w="5807" w:type="dxa"/>
          </w:tcPr>
          <w:p w:rsidR="00CB36DD" w:rsidRPr="005B6EE2" w:rsidRDefault="00CB36DD" w:rsidP="00A675CC">
            <w:pPr>
              <w:spacing w:before="120" w:after="120" w:line="276" w:lineRule="auto"/>
              <w:jc w:val="both"/>
              <w:rPr>
                <w:rFonts w:ascii="Arial" w:hAnsi="Arial" w:cs="Arial"/>
              </w:rPr>
            </w:pPr>
            <w:r w:rsidRPr="005B6EE2">
              <w:rPr>
                <w:rFonts w:ascii="Arial" w:eastAsiaTheme="minorHAnsi" w:hAnsi="Arial" w:cs="Arial"/>
                <w:sz w:val="22"/>
                <w:szCs w:val="22"/>
                <w:lang w:eastAsia="en-US"/>
              </w:rPr>
              <w:object w:dxaOrig="4005" w:dyaOrig="4620">
                <v:shape id="_x0000_i1027" type="#_x0000_t75" style="width:135pt;height:156.75pt" o:ole="">
                  <v:imagedata r:id="rId13" o:title=""/>
                </v:shape>
                <o:OLEObject Type="Embed" ProgID="PBrush" ShapeID="_x0000_i1027" DrawAspect="Content" ObjectID="_1770710205" r:id="rId14"/>
              </w:object>
            </w:r>
            <w:r w:rsidRPr="005B6EE2">
              <w:rPr>
                <w:rFonts w:ascii="Arial" w:hAnsi="Arial" w:cs="Arial"/>
              </w:rPr>
              <w:t xml:space="preserve"> </w:t>
            </w:r>
            <w:r w:rsidRPr="005B6EE2">
              <w:rPr>
                <w:rFonts w:ascii="Arial" w:eastAsiaTheme="minorHAnsi" w:hAnsi="Arial" w:cs="Arial"/>
                <w:sz w:val="22"/>
                <w:szCs w:val="22"/>
                <w:lang w:eastAsia="en-US"/>
              </w:rPr>
              <w:object w:dxaOrig="2610" w:dyaOrig="2010">
                <v:shape id="_x0000_i1028" type="#_x0000_t75" style="width:136.5pt;height:155.25pt" o:ole="">
                  <v:imagedata r:id="rId15" o:title=""/>
                </v:shape>
                <o:OLEObject Type="Embed" ProgID="PBrush" ShapeID="_x0000_i1028" DrawAspect="Content" ObjectID="_1770710206" r:id="rId16"/>
              </w:object>
            </w:r>
          </w:p>
          <w:p w:rsidR="00CB36DD" w:rsidRPr="005B6EE2" w:rsidRDefault="00CB36DD" w:rsidP="00A675CC">
            <w:pPr>
              <w:spacing w:before="120" w:after="120" w:line="276" w:lineRule="auto"/>
              <w:jc w:val="both"/>
              <w:rPr>
                <w:rFonts w:ascii="Arial" w:hAnsi="Arial" w:cs="Arial"/>
              </w:rPr>
            </w:pPr>
            <w:r w:rsidRPr="005B6EE2">
              <w:rPr>
                <w:rFonts w:ascii="Arial" w:hAnsi="Arial" w:cs="Arial"/>
              </w:rPr>
              <w:t>BOUCHON TYPE NIPPLE HEAD</w:t>
            </w:r>
          </w:p>
        </w:tc>
        <w:tc>
          <w:tcPr>
            <w:tcW w:w="4105" w:type="dxa"/>
          </w:tcPr>
          <w:p w:rsidR="00CB36DD" w:rsidRPr="004A16E8" w:rsidRDefault="00CB36DD" w:rsidP="00A675CC">
            <w:pPr>
              <w:spacing w:before="120" w:after="120" w:line="276" w:lineRule="auto"/>
              <w:jc w:val="both"/>
              <w:rPr>
                <w:rFonts w:ascii="Arial" w:hAnsi="Arial" w:cs="Arial"/>
              </w:rPr>
            </w:pPr>
            <w:r w:rsidRPr="004A16E8">
              <w:rPr>
                <w:rFonts w:ascii="Arial" w:hAnsi="Arial" w:cs="Arial"/>
              </w:rPr>
              <w:t>Refusé</w:t>
            </w:r>
          </w:p>
        </w:tc>
      </w:tr>
    </w:tbl>
    <w:p w:rsidR="00CB36DD" w:rsidRPr="004A16E8" w:rsidRDefault="00CB36DD" w:rsidP="00CB36DD">
      <w:pPr>
        <w:spacing w:before="120" w:after="120" w:line="276" w:lineRule="auto"/>
        <w:jc w:val="both"/>
        <w:rPr>
          <w:rFonts w:ascii="Arial" w:hAnsi="Arial" w:cs="Arial"/>
        </w:rPr>
      </w:pP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7" w:name="_Toc335915588"/>
      <w:r w:rsidRPr="004A16E8">
        <w:rPr>
          <w:rFonts w:ascii="Arial" w:hAnsi="Arial" w:cs="Arial"/>
        </w:rPr>
        <w:lastRenderedPageBreak/>
        <w:t>Conditionnement primaire :</w:t>
      </w:r>
      <w:bookmarkEnd w:id="37"/>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L'étiquetage de chaque boîte de médicaments conditionnés en vrac, et de chaque unité de conditionnement des matériels médicaux sera conforme à la norme W210 des règles de bonne pratique de l'OMS, et indiquera en langue française ou à défaut en langue anglaise :</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 du produit sous Dénomination Commune Internationale,</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dosage et la forme pharmaceutique,</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la</w:t>
      </w:r>
      <w:proofErr w:type="gramEnd"/>
      <w:r w:rsidRPr="004A16E8">
        <w:rPr>
          <w:rFonts w:ascii="Arial" w:hAnsi="Arial" w:cs="Arial"/>
        </w:rPr>
        <w:t xml:space="preserve"> norme de la pharmacopée applicable</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 et l’adresse complets du fabricant,</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numéro de lot de fabrication, la date de fabrication et de péremption,</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les</w:t>
      </w:r>
      <w:proofErr w:type="gramEnd"/>
      <w:r w:rsidRPr="004A16E8">
        <w:rPr>
          <w:rFonts w:ascii="Arial" w:hAnsi="Arial" w:cs="Arial"/>
        </w:rPr>
        <w:t xml:space="preserve"> conditions particulières de stockage éventuellement,</w:t>
      </w:r>
    </w:p>
    <w:p w:rsidR="00CB36DD" w:rsidRPr="004A16E8" w:rsidRDefault="00CB36DD" w:rsidP="00CB36DD">
      <w:pPr>
        <w:pStyle w:val="Corpsdetexte3"/>
        <w:numPr>
          <w:ilvl w:val="0"/>
          <w:numId w:val="1"/>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nombre d'unités contenues dans chaque unité de conditionnement.</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Les comprimés et gélules conditionnés sous films ou blisters devront comporter soit sur chaque alvéole, soit sur la plaquette la dénomination commune internationale, le dosage, le numéro du lot et la date de péremption. La boîte contenant ces films ou blisters devra être étiquetée de la même manière que la boîte de vrac.</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Les ampoules injectables devront avoir ces mentions inscrites en encre indélébile non effaçable ou gravées sur chacune d’entre elles.</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Ces mentions devront être imprimées en encre indélébile donc non effaçable ou étiquetées sur chaque autre médicament et consommable médico-chirurgical présenté en conditionnement individuel.</w:t>
      </w:r>
    </w:p>
    <w:p w:rsidR="00CB36DD" w:rsidRPr="004A16E8" w:rsidRDefault="00CB36DD" w:rsidP="00CB36DD">
      <w:pPr>
        <w:spacing w:before="120" w:after="120" w:line="276" w:lineRule="auto"/>
        <w:jc w:val="both"/>
        <w:rPr>
          <w:rFonts w:ascii="Arial" w:hAnsi="Arial" w:cs="Arial"/>
          <w:b/>
          <w:i/>
        </w:rPr>
      </w:pPr>
      <w:r w:rsidRPr="004A16E8">
        <w:rPr>
          <w:rFonts w:ascii="Arial" w:hAnsi="Arial" w:cs="Arial"/>
          <w:b/>
          <w:i/>
        </w:rPr>
        <w:t>Tout médicament proposé en emballage individuel doit contenir une notice de lisible en langue française, toutefois la notice en langue anglaise est acceptée dûment accompagnée de sa traduction en français.</w:t>
      </w: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8" w:name="_Toc335915589"/>
      <w:r w:rsidRPr="004A16E8">
        <w:rPr>
          <w:rFonts w:ascii="Arial" w:hAnsi="Arial" w:cs="Arial"/>
        </w:rPr>
        <w:t>Conditionnement secondaire et tertiaire :</w:t>
      </w:r>
      <w:bookmarkEnd w:id="38"/>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Outre les mentions obligatoires imposées par la législation pharmaceutique du pays d'origine du produit, l'étiquetage extérieur de l'unité de regroupement (carton) devra mentionner en langue française :</w:t>
      </w:r>
    </w:p>
    <w:p w:rsidR="00CB36DD" w:rsidRPr="004A16E8" w:rsidRDefault="00CB36DD" w:rsidP="00CB36DD">
      <w:pPr>
        <w:pStyle w:val="Corpsdetexte3"/>
        <w:numPr>
          <w:ilvl w:val="0"/>
          <w:numId w:val="3"/>
        </w:numPr>
        <w:spacing w:before="120" w:after="120" w:line="276" w:lineRule="auto"/>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 du produit sous Dénomination Commune Internationale,</w:t>
      </w:r>
    </w:p>
    <w:p w:rsidR="00CB36DD" w:rsidRPr="004A16E8" w:rsidRDefault="00CB36DD" w:rsidP="00CB36DD">
      <w:pPr>
        <w:pStyle w:val="Corpsdetexte3"/>
        <w:numPr>
          <w:ilvl w:val="0"/>
          <w:numId w:val="3"/>
        </w:numPr>
        <w:spacing w:before="120" w:after="120" w:line="276" w:lineRule="auto"/>
        <w:rPr>
          <w:rFonts w:ascii="Arial" w:hAnsi="Arial" w:cs="Arial"/>
        </w:rPr>
      </w:pPr>
      <w:proofErr w:type="gramStart"/>
      <w:r w:rsidRPr="004A16E8">
        <w:rPr>
          <w:rFonts w:ascii="Arial" w:hAnsi="Arial" w:cs="Arial"/>
        </w:rPr>
        <w:t>le</w:t>
      </w:r>
      <w:proofErr w:type="gramEnd"/>
      <w:r w:rsidRPr="004A16E8">
        <w:rPr>
          <w:rFonts w:ascii="Arial" w:hAnsi="Arial" w:cs="Arial"/>
        </w:rPr>
        <w:t xml:space="preserve"> dosage et la forme pharmaceutique,</w:t>
      </w:r>
    </w:p>
    <w:p w:rsidR="00CB36DD" w:rsidRPr="004A16E8" w:rsidRDefault="00CB36DD" w:rsidP="00CB36DD">
      <w:pPr>
        <w:pStyle w:val="Corpsdetexte3"/>
        <w:numPr>
          <w:ilvl w:val="0"/>
          <w:numId w:val="3"/>
        </w:numPr>
        <w:spacing w:before="120" w:after="120" w:line="276" w:lineRule="auto"/>
        <w:jc w:val="both"/>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 et l’adresse complets du fabricant,</w:t>
      </w:r>
    </w:p>
    <w:p w:rsidR="00CB36DD" w:rsidRPr="004A16E8" w:rsidRDefault="00CB36DD" w:rsidP="00CB36DD">
      <w:pPr>
        <w:pStyle w:val="Corpsdetexte3"/>
        <w:numPr>
          <w:ilvl w:val="0"/>
          <w:numId w:val="3"/>
        </w:numPr>
        <w:spacing w:before="120" w:after="120" w:line="276" w:lineRule="auto"/>
        <w:rPr>
          <w:rFonts w:ascii="Arial" w:hAnsi="Arial" w:cs="Arial"/>
        </w:rPr>
      </w:pPr>
      <w:proofErr w:type="gramStart"/>
      <w:r w:rsidRPr="004A16E8">
        <w:rPr>
          <w:rFonts w:ascii="Arial" w:hAnsi="Arial" w:cs="Arial"/>
        </w:rPr>
        <w:t>le</w:t>
      </w:r>
      <w:proofErr w:type="gramEnd"/>
      <w:r w:rsidRPr="004A16E8">
        <w:rPr>
          <w:rFonts w:ascii="Arial" w:hAnsi="Arial" w:cs="Arial"/>
        </w:rPr>
        <w:t xml:space="preserve"> numéro de lot de fabrication, la date de fabrication et de péremption,</w:t>
      </w:r>
    </w:p>
    <w:p w:rsidR="00CB36DD" w:rsidRPr="004A16E8" w:rsidRDefault="00CB36DD" w:rsidP="00CB36DD">
      <w:pPr>
        <w:pStyle w:val="Corpsdetexte3"/>
        <w:numPr>
          <w:ilvl w:val="0"/>
          <w:numId w:val="3"/>
        </w:numPr>
        <w:spacing w:before="120" w:after="120" w:line="276" w:lineRule="auto"/>
        <w:rPr>
          <w:rFonts w:ascii="Arial" w:hAnsi="Arial" w:cs="Arial"/>
        </w:rPr>
      </w:pPr>
      <w:proofErr w:type="gramStart"/>
      <w:r w:rsidRPr="004A16E8">
        <w:rPr>
          <w:rFonts w:ascii="Arial" w:hAnsi="Arial" w:cs="Arial"/>
        </w:rPr>
        <w:t>les</w:t>
      </w:r>
      <w:proofErr w:type="gramEnd"/>
      <w:r w:rsidRPr="004A16E8">
        <w:rPr>
          <w:rFonts w:ascii="Arial" w:hAnsi="Arial" w:cs="Arial"/>
        </w:rPr>
        <w:t xml:space="preserve"> conditions particulières de stockage,</w:t>
      </w:r>
    </w:p>
    <w:p w:rsidR="00CB36DD" w:rsidRPr="004A16E8" w:rsidRDefault="00CB36DD" w:rsidP="00CB36DD">
      <w:pPr>
        <w:pStyle w:val="Corpsdetexte3"/>
        <w:numPr>
          <w:ilvl w:val="0"/>
          <w:numId w:val="3"/>
        </w:numPr>
        <w:spacing w:before="120" w:after="120" w:line="276" w:lineRule="auto"/>
        <w:rPr>
          <w:rFonts w:ascii="Arial" w:hAnsi="Arial" w:cs="Arial"/>
        </w:rPr>
      </w:pPr>
      <w:proofErr w:type="gramStart"/>
      <w:r w:rsidRPr="004A16E8">
        <w:rPr>
          <w:rFonts w:ascii="Arial" w:hAnsi="Arial" w:cs="Arial"/>
        </w:rPr>
        <w:t>le</w:t>
      </w:r>
      <w:proofErr w:type="gramEnd"/>
      <w:r w:rsidRPr="004A16E8">
        <w:rPr>
          <w:rFonts w:ascii="Arial" w:hAnsi="Arial" w:cs="Arial"/>
        </w:rPr>
        <w:t xml:space="preserve"> nombre de boîtes contenues dans chaque unité de conditionnement (carton).</w:t>
      </w:r>
    </w:p>
    <w:p w:rsidR="00CB36DD" w:rsidRPr="004A16E8" w:rsidRDefault="00CB36DD" w:rsidP="00CB36DD">
      <w:pPr>
        <w:pStyle w:val="Titre4"/>
        <w:numPr>
          <w:ilvl w:val="0"/>
          <w:numId w:val="10"/>
        </w:numPr>
        <w:tabs>
          <w:tab w:val="clear" w:pos="0"/>
          <w:tab w:val="clear" w:pos="8845"/>
        </w:tabs>
        <w:spacing w:line="276" w:lineRule="auto"/>
        <w:jc w:val="left"/>
        <w:rPr>
          <w:rFonts w:ascii="Arial" w:hAnsi="Arial" w:cs="Arial"/>
        </w:rPr>
      </w:pPr>
      <w:bookmarkStart w:id="39" w:name="_Toc335915590"/>
      <w:r w:rsidRPr="004A16E8">
        <w:rPr>
          <w:rFonts w:ascii="Arial" w:hAnsi="Arial" w:cs="Arial"/>
        </w:rPr>
        <w:t>Notice d’information sur le produit</w:t>
      </w:r>
      <w:bookmarkEnd w:id="39"/>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Chaque médicament livré au titre du Marché sera accompagné d’une courte notice résumant les principaux éléments d’informations disponibles, sur la nature du produit, ses conditions et précautions d’utilisation, et ses conditions de conservation.</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lastRenderedPageBreak/>
        <w:t>Cette notice sera jointe à chaque conditionnement primaire du produit et sera en version modèle-vente.</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 xml:space="preserve">La notice sera rédigée en langue française et en caractères lisibles. Une notice en langue anglaise est acceptée dûment accompagnée de sa traduction en français. </w:t>
      </w:r>
    </w:p>
    <w:p w:rsidR="00CB36DD" w:rsidRPr="004A16E8" w:rsidRDefault="00CB36DD" w:rsidP="00CB36DD">
      <w:pPr>
        <w:pStyle w:val="Corpsdetexte3"/>
        <w:spacing w:before="120" w:after="120" w:line="276" w:lineRule="auto"/>
        <w:jc w:val="both"/>
        <w:rPr>
          <w:rFonts w:ascii="Arial" w:hAnsi="Arial" w:cs="Arial"/>
        </w:rPr>
      </w:pPr>
      <w:r w:rsidRPr="004A16E8">
        <w:rPr>
          <w:rFonts w:ascii="Arial" w:hAnsi="Arial" w:cs="Arial"/>
        </w:rPr>
        <w:t>Le texte de la notice présentera successivement et au moins les informations suivantes, relatives au produit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la composition unitaire détaillée : nature et dosage du (ou des) principe(s) actif (s) et des excipients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La pharmacopée de référence</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la présentation et forme</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Propriété du produit</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 sort du produit dans l’organisme (Pharmacocinétique</w:t>
      </w:r>
      <w:proofErr w:type="gramStart"/>
      <w:r w:rsidRPr="004A16E8">
        <w:rPr>
          <w:rFonts w:ascii="Arial" w:hAnsi="Arial" w:cs="Arial"/>
        </w:rPr>
        <w:t>);</w:t>
      </w:r>
      <w:proofErr w:type="gramEnd"/>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indications thérapeutiques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 mode d’emploi et la posologie (standards adulte et pédiatrique) **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contre-indications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effets secondaires et effets indésirables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 xml:space="preserve">*          la liste des excipients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          la liste des excipients à effets notoire</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interactions médicamenteuses (incompatibilités) ;</w:t>
      </w:r>
    </w:p>
    <w:p w:rsidR="00CB36DD" w:rsidRPr="004A16E8" w:rsidRDefault="00CB36DD" w:rsidP="00CB36DD">
      <w:pPr>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précautions d’utilisation et les mises en garde éventuellement requises ; chez la femme enceinte et allaitante.</w:t>
      </w:r>
    </w:p>
    <w:p w:rsidR="00CB36DD" w:rsidRPr="004A16E8" w:rsidRDefault="00CB36DD" w:rsidP="00CB36DD">
      <w:pPr>
        <w:pStyle w:val="Corpsdetexte3"/>
        <w:spacing w:before="120" w:after="120" w:line="276" w:lineRule="auto"/>
        <w:ind w:left="708"/>
        <w:jc w:val="both"/>
        <w:rPr>
          <w:rFonts w:ascii="Arial" w:hAnsi="Arial" w:cs="Arial"/>
        </w:rPr>
      </w:pPr>
      <w:r w:rsidRPr="004A16E8">
        <w:rPr>
          <w:rFonts w:ascii="Arial" w:hAnsi="Arial" w:cs="Arial"/>
        </w:rPr>
        <w:t>*</w:t>
      </w:r>
      <w:r w:rsidRPr="004A16E8">
        <w:rPr>
          <w:rFonts w:ascii="Arial" w:hAnsi="Arial" w:cs="Arial"/>
        </w:rPr>
        <w:tab/>
        <w:t>les conditions et précautions relatives au stockage et à la conservation.</w:t>
      </w:r>
    </w:p>
    <w:p w:rsidR="00CB36DD" w:rsidRPr="004A16E8" w:rsidRDefault="00CB36DD" w:rsidP="00CB36DD">
      <w:pPr>
        <w:pStyle w:val="Corpsdetexte3"/>
        <w:numPr>
          <w:ilvl w:val="0"/>
          <w:numId w:val="16"/>
        </w:numPr>
        <w:spacing w:before="120" w:after="120" w:line="276" w:lineRule="auto"/>
        <w:ind w:left="1068"/>
        <w:jc w:val="both"/>
        <w:rPr>
          <w:rFonts w:ascii="Arial" w:hAnsi="Arial" w:cs="Arial"/>
        </w:rPr>
      </w:pPr>
      <w:r w:rsidRPr="004A16E8">
        <w:rPr>
          <w:rFonts w:ascii="Arial" w:hAnsi="Arial" w:cs="Arial"/>
        </w:rPr>
        <w:t xml:space="preserve">      </w:t>
      </w:r>
      <w:proofErr w:type="gramStart"/>
      <w:r w:rsidRPr="004A16E8">
        <w:rPr>
          <w:rFonts w:ascii="Arial" w:hAnsi="Arial" w:cs="Arial"/>
        </w:rPr>
        <w:t>le</w:t>
      </w:r>
      <w:proofErr w:type="gramEnd"/>
      <w:r w:rsidRPr="004A16E8">
        <w:rPr>
          <w:rFonts w:ascii="Arial" w:hAnsi="Arial" w:cs="Arial"/>
        </w:rPr>
        <w:t xml:space="preserve"> nom et adresse complets du fabricant.</w:t>
      </w:r>
    </w:p>
    <w:p w:rsidR="00CB36DD" w:rsidRPr="004A16E8" w:rsidRDefault="00CB36DD" w:rsidP="00CB36DD">
      <w:pPr>
        <w:pStyle w:val="Corpsdetexte3"/>
        <w:spacing w:before="120" w:after="120" w:line="276" w:lineRule="auto"/>
        <w:ind w:left="708"/>
        <w:jc w:val="both"/>
        <w:rPr>
          <w:rFonts w:ascii="Arial" w:hAnsi="Arial" w:cs="Arial"/>
        </w:rPr>
      </w:pPr>
      <w:r w:rsidRPr="004A16E8">
        <w:rPr>
          <w:rFonts w:ascii="Arial" w:hAnsi="Arial" w:cs="Arial"/>
        </w:rPr>
        <w:t>** Les médicaments utilisés en oncologie, les doses de chimiothérapie seront exprimées en milligrammes par mètre carré de surface corporelle (mg/m</w:t>
      </w:r>
      <w:r w:rsidRPr="005B6EE2">
        <w:rPr>
          <w:rFonts w:ascii="Arial" w:hAnsi="Arial" w:cs="Arial"/>
          <w:vertAlign w:val="superscript"/>
        </w:rPr>
        <w:t>2</w:t>
      </w:r>
      <w:r w:rsidRPr="004A16E8">
        <w:rPr>
          <w:rFonts w:ascii="Arial" w:hAnsi="Arial" w:cs="Arial"/>
        </w:rPr>
        <w:t>)</w:t>
      </w:r>
    </w:p>
    <w:p w:rsidR="00CB36DD" w:rsidRPr="004A16E8" w:rsidRDefault="00CB36DD" w:rsidP="00CB36DD">
      <w:pPr>
        <w:pStyle w:val="Titre2"/>
        <w:rPr>
          <w:rFonts w:ascii="Arial" w:hAnsi="Arial" w:cs="Arial"/>
        </w:rPr>
      </w:pPr>
      <w:bookmarkStart w:id="40" w:name="_Toc117431431"/>
      <w:bookmarkStart w:id="41" w:name="_Toc118207980"/>
      <w:r w:rsidRPr="004A16E8">
        <w:rPr>
          <w:rFonts w:ascii="Arial" w:hAnsi="Arial" w:cs="Arial"/>
        </w:rPr>
        <w:t>Conformité technique des fournitures</w:t>
      </w:r>
      <w:bookmarkEnd w:id="40"/>
      <w:bookmarkEnd w:id="41"/>
    </w:p>
    <w:p w:rsidR="00CB36DD" w:rsidRDefault="00CB36DD" w:rsidP="00CB36DD">
      <w:pPr>
        <w:spacing w:before="120" w:after="120" w:line="276" w:lineRule="auto"/>
        <w:jc w:val="both"/>
        <w:rPr>
          <w:rFonts w:ascii="Arial" w:hAnsi="Arial" w:cs="Arial"/>
        </w:rPr>
      </w:pPr>
      <w:r w:rsidRPr="004A16E8">
        <w:rPr>
          <w:rFonts w:ascii="Arial" w:hAnsi="Arial" w:cs="Arial"/>
        </w:rPr>
        <w:t xml:space="preserve">Les normes suivantes sont d’application dans le cadre des spécifications techniques de certaines catégories d’articles. </w:t>
      </w:r>
    </w:p>
    <w:p w:rsidR="000E7689" w:rsidRPr="000E7689" w:rsidRDefault="000E7689" w:rsidP="000E7689">
      <w:pPr>
        <w:pBdr>
          <w:top w:val="single" w:sz="4" w:space="1" w:color="auto"/>
          <w:left w:val="single" w:sz="4" w:space="4" w:color="auto"/>
          <w:bottom w:val="single" w:sz="4" w:space="1" w:color="auto"/>
          <w:right w:val="single" w:sz="4" w:space="4" w:color="auto"/>
        </w:pBdr>
        <w:spacing w:before="120" w:after="120" w:line="276" w:lineRule="auto"/>
        <w:jc w:val="center"/>
        <w:rPr>
          <w:rFonts w:ascii="Arial" w:hAnsi="Arial" w:cs="Arial"/>
          <w:b/>
          <w:i/>
        </w:rPr>
      </w:pPr>
      <w:bookmarkStart w:id="42" w:name="_GoBack"/>
      <w:r w:rsidRPr="000E7689">
        <w:rPr>
          <w:rFonts w:ascii="Arial" w:hAnsi="Arial" w:cs="Arial"/>
          <w:b/>
          <w:i/>
        </w:rPr>
        <w:t>Tous les consommables médicaux quels que soit le type doivent contenir une étiquette indiquant les mentions légales complètes :</w:t>
      </w:r>
      <w:r w:rsidRPr="000E7689">
        <w:rPr>
          <w:b/>
          <w:i/>
        </w:rPr>
        <w:t xml:space="preserve"> </w:t>
      </w:r>
      <w:r w:rsidRPr="000E7689">
        <w:rPr>
          <w:rFonts w:ascii="Arial" w:hAnsi="Arial" w:cs="Arial"/>
          <w:b/>
          <w:i/>
        </w:rPr>
        <w:t>Date de péremption, site de fabrication, numéro de lot, nom et adresse du fabricant.</w:t>
      </w:r>
    </w:p>
    <w:p w:rsidR="00CB36DD" w:rsidRPr="004A16E8" w:rsidRDefault="00CB36DD" w:rsidP="00CB36DD">
      <w:pPr>
        <w:pStyle w:val="Titre2"/>
        <w:numPr>
          <w:ilvl w:val="0"/>
          <w:numId w:val="15"/>
        </w:numPr>
        <w:spacing w:before="120" w:after="120" w:line="276" w:lineRule="auto"/>
        <w:ind w:left="0" w:firstLine="0"/>
        <w:rPr>
          <w:rFonts w:ascii="Arial" w:hAnsi="Arial" w:cs="Arial"/>
          <w:sz w:val="24"/>
          <w:szCs w:val="24"/>
        </w:rPr>
      </w:pPr>
      <w:bookmarkStart w:id="43" w:name="_Toc335915592"/>
      <w:bookmarkStart w:id="44" w:name="_Toc117431432"/>
      <w:bookmarkStart w:id="45" w:name="_Toc118207981"/>
      <w:bookmarkEnd w:id="42"/>
      <w:r w:rsidRPr="004A16E8">
        <w:rPr>
          <w:rFonts w:ascii="Arial" w:hAnsi="Arial" w:cs="Arial"/>
          <w:sz w:val="24"/>
          <w:szCs w:val="24"/>
        </w:rPr>
        <w:t xml:space="preserve">Conformité technique des solutés massifs injectables (sérum salé isotonique, sérum glucosé, solution de sodium bicarbonate, solution de </w:t>
      </w:r>
      <w:proofErr w:type="spellStart"/>
      <w:r w:rsidRPr="004A16E8">
        <w:rPr>
          <w:rFonts w:ascii="Arial" w:hAnsi="Arial" w:cs="Arial"/>
          <w:sz w:val="24"/>
          <w:szCs w:val="24"/>
        </w:rPr>
        <w:t>Ringer</w:t>
      </w:r>
      <w:proofErr w:type="spellEnd"/>
      <w:r w:rsidRPr="004A16E8">
        <w:rPr>
          <w:rFonts w:ascii="Arial" w:hAnsi="Arial" w:cs="Arial"/>
          <w:sz w:val="24"/>
          <w:szCs w:val="24"/>
        </w:rPr>
        <w:t xml:space="preserve"> Lactate, mannitol)</w:t>
      </w:r>
      <w:bookmarkEnd w:id="43"/>
      <w:bookmarkEnd w:id="44"/>
      <w:bookmarkEnd w:id="45"/>
    </w:p>
    <w:p w:rsidR="00CB36DD" w:rsidRPr="004A16E8" w:rsidRDefault="00CB36DD" w:rsidP="00CB36DD">
      <w:pPr>
        <w:widowControl w:val="0"/>
        <w:tabs>
          <w:tab w:val="left" w:pos="204"/>
        </w:tabs>
        <w:spacing w:before="120" w:after="120" w:line="276" w:lineRule="auto"/>
        <w:jc w:val="both"/>
        <w:rPr>
          <w:rFonts w:ascii="Arial" w:hAnsi="Arial" w:cs="Arial"/>
        </w:rPr>
      </w:pPr>
      <w:r w:rsidRPr="004A16E8">
        <w:rPr>
          <w:rFonts w:ascii="Arial" w:hAnsi="Arial" w:cs="Arial"/>
        </w:rPr>
        <w:t>Les flacons doivent être du type EURO HEAD. (</w:t>
      </w:r>
      <w:proofErr w:type="gramStart"/>
      <w:r w:rsidRPr="004A16E8">
        <w:rPr>
          <w:rFonts w:ascii="Arial" w:hAnsi="Arial" w:cs="Arial"/>
        </w:rPr>
        <w:t>voir  2</w:t>
      </w:r>
      <w:proofErr w:type="gramEnd"/>
      <w:r w:rsidRPr="004A16E8">
        <w:rPr>
          <w:rFonts w:ascii="Arial" w:hAnsi="Arial" w:cs="Arial"/>
        </w:rPr>
        <w:t>.2.3</w:t>
      </w:r>
      <w:r w:rsidRPr="004A16E8">
        <w:rPr>
          <w:rFonts w:ascii="Arial" w:hAnsi="Arial" w:cs="Arial"/>
        </w:rPr>
        <w:tab/>
        <w:t>Présentation des solutés pour perfusion)</w:t>
      </w:r>
    </w:p>
    <w:p w:rsidR="00CB36DD" w:rsidRPr="004A16E8" w:rsidRDefault="00CB36DD" w:rsidP="00CB36DD">
      <w:pPr>
        <w:widowControl w:val="0"/>
        <w:tabs>
          <w:tab w:val="left" w:pos="204"/>
        </w:tabs>
        <w:spacing w:before="120" w:after="120" w:line="276" w:lineRule="auto"/>
        <w:jc w:val="both"/>
        <w:rPr>
          <w:rFonts w:ascii="Arial" w:hAnsi="Arial" w:cs="Arial"/>
        </w:rPr>
      </w:pPr>
    </w:p>
    <w:p w:rsidR="00CB36DD" w:rsidRPr="004A16E8" w:rsidRDefault="00CB36DD" w:rsidP="00CB36DD">
      <w:pPr>
        <w:pStyle w:val="Titre2"/>
        <w:numPr>
          <w:ilvl w:val="0"/>
          <w:numId w:val="15"/>
        </w:numPr>
        <w:spacing w:before="120" w:after="120" w:line="276" w:lineRule="auto"/>
        <w:ind w:left="0" w:firstLine="0"/>
        <w:rPr>
          <w:rFonts w:ascii="Arial" w:hAnsi="Arial" w:cs="Arial"/>
          <w:sz w:val="24"/>
          <w:szCs w:val="24"/>
        </w:rPr>
      </w:pPr>
      <w:bookmarkStart w:id="46" w:name="_Toc335915593"/>
      <w:bookmarkStart w:id="47" w:name="_Toc117431433"/>
      <w:bookmarkStart w:id="48" w:name="_Toc118207982"/>
      <w:r w:rsidRPr="004A16E8">
        <w:rPr>
          <w:rFonts w:ascii="Arial" w:hAnsi="Arial" w:cs="Arial"/>
          <w:sz w:val="24"/>
          <w:szCs w:val="24"/>
        </w:rPr>
        <w:t>Conformité technique des ampoules injectables</w:t>
      </w:r>
      <w:bookmarkEnd w:id="46"/>
      <w:bookmarkEnd w:id="47"/>
      <w:bookmarkEnd w:id="48"/>
    </w:p>
    <w:p w:rsidR="00CB36DD" w:rsidRPr="004A16E8" w:rsidRDefault="00CB36DD" w:rsidP="00CB36DD">
      <w:pPr>
        <w:widowControl w:val="0"/>
        <w:spacing w:before="120" w:after="120" w:line="276" w:lineRule="auto"/>
        <w:jc w:val="both"/>
        <w:rPr>
          <w:rFonts w:ascii="Arial" w:hAnsi="Arial" w:cs="Arial"/>
        </w:rPr>
      </w:pPr>
      <w:r w:rsidRPr="004A16E8">
        <w:rPr>
          <w:rFonts w:ascii="Arial" w:hAnsi="Arial" w:cs="Arial"/>
        </w:rPr>
        <w:t>Toutes les ampoules injectables doivent être autocassables ou à défaut munies d’une lime.</w:t>
      </w:r>
    </w:p>
    <w:p w:rsidR="00CB36DD" w:rsidRPr="004A16E8" w:rsidRDefault="00CB36DD" w:rsidP="00CB36DD">
      <w:pPr>
        <w:pStyle w:val="Titre2"/>
        <w:numPr>
          <w:ilvl w:val="0"/>
          <w:numId w:val="15"/>
        </w:numPr>
        <w:spacing w:line="276" w:lineRule="auto"/>
        <w:ind w:left="0" w:firstLine="0"/>
        <w:rPr>
          <w:rFonts w:ascii="Arial" w:hAnsi="Arial" w:cs="Arial"/>
          <w:sz w:val="24"/>
          <w:szCs w:val="24"/>
        </w:rPr>
      </w:pPr>
      <w:bookmarkStart w:id="49" w:name="_Toc335915594"/>
      <w:bookmarkStart w:id="50" w:name="_Toc117431434"/>
      <w:bookmarkStart w:id="51" w:name="_Toc118207983"/>
      <w:r w:rsidRPr="004A16E8">
        <w:rPr>
          <w:rFonts w:ascii="Arial" w:hAnsi="Arial" w:cs="Arial"/>
          <w:sz w:val="24"/>
          <w:szCs w:val="24"/>
        </w:rPr>
        <w:t>Conformité technique des compresses hydrophiles non tissées</w:t>
      </w:r>
      <w:bookmarkEnd w:id="49"/>
      <w:bookmarkEnd w:id="50"/>
      <w:bookmarkEnd w:id="51"/>
    </w:p>
    <w:p w:rsidR="00CB36DD" w:rsidRPr="004A16E8" w:rsidRDefault="00CB36DD" w:rsidP="00CB36DD">
      <w:pPr>
        <w:widowControl w:val="0"/>
        <w:spacing w:before="120" w:after="120" w:line="276" w:lineRule="auto"/>
        <w:jc w:val="both"/>
        <w:rPr>
          <w:rFonts w:ascii="Arial" w:hAnsi="Arial" w:cs="Arial"/>
        </w:rPr>
      </w:pPr>
      <w:r w:rsidRPr="004A16E8">
        <w:rPr>
          <w:rFonts w:ascii="Arial" w:hAnsi="Arial" w:cs="Arial"/>
        </w:rPr>
        <w:t>Les compresses hydrophiles non tissées stériles doivent être en cellulose purifiée, de dimension 10 cm x 10 cm et 20 cm x 10 cm, format plié, d’un poids de 40g/m</w:t>
      </w:r>
      <w:r w:rsidRPr="005B6EE2">
        <w:rPr>
          <w:rFonts w:ascii="Arial" w:hAnsi="Arial" w:cs="Arial"/>
          <w:vertAlign w:val="superscript"/>
        </w:rPr>
        <w:t>2</w:t>
      </w:r>
      <w:r w:rsidRPr="004A16E8">
        <w:rPr>
          <w:rFonts w:ascii="Arial" w:hAnsi="Arial" w:cs="Arial"/>
        </w:rPr>
        <w:t xml:space="preserve">, et de 4 épaisseurs. Leur capacité d’absorption doit être de 10g/l. La résistance à la rupture devra être en moyenne de 35 N/5cm et de 14 N/5cm en travers. Elles ne doivent pas s’effilocher. Elles devront avoir une contamination bactérienne inférieure à 100 </w:t>
      </w:r>
      <w:proofErr w:type="spellStart"/>
      <w:r w:rsidRPr="004A16E8">
        <w:rPr>
          <w:rFonts w:ascii="Arial" w:hAnsi="Arial" w:cs="Arial"/>
        </w:rPr>
        <w:t>u.f.c</w:t>
      </w:r>
      <w:proofErr w:type="spellEnd"/>
      <w:r w:rsidRPr="004A16E8">
        <w:rPr>
          <w:rFonts w:ascii="Arial" w:hAnsi="Arial" w:cs="Arial"/>
        </w:rPr>
        <w:t>. /g.</w:t>
      </w:r>
    </w:p>
    <w:p w:rsidR="00CB36DD" w:rsidRPr="004A16E8" w:rsidRDefault="00CB36DD" w:rsidP="00CB36DD">
      <w:pPr>
        <w:widowControl w:val="0"/>
        <w:spacing w:before="120" w:after="120" w:line="276" w:lineRule="auto"/>
        <w:jc w:val="both"/>
        <w:rPr>
          <w:rFonts w:ascii="Arial" w:hAnsi="Arial" w:cs="Arial"/>
        </w:rPr>
      </w:pPr>
      <w:r w:rsidRPr="004A16E8">
        <w:rPr>
          <w:rFonts w:ascii="Arial" w:hAnsi="Arial" w:cs="Arial"/>
        </w:rPr>
        <w:t>Elles seront conditionnées par paquet de 10 compresses sous emballage inviolable, portant les inscriptions réglementaires.</w:t>
      </w:r>
    </w:p>
    <w:p w:rsidR="00CB36DD" w:rsidRPr="004A16E8" w:rsidRDefault="00CB36DD" w:rsidP="00CB36DD">
      <w:pPr>
        <w:pStyle w:val="Titre2"/>
        <w:numPr>
          <w:ilvl w:val="0"/>
          <w:numId w:val="15"/>
        </w:numPr>
        <w:spacing w:before="120" w:after="120" w:line="276" w:lineRule="auto"/>
        <w:ind w:hanging="720"/>
        <w:rPr>
          <w:rFonts w:ascii="Arial" w:hAnsi="Arial" w:cs="Arial"/>
          <w:sz w:val="24"/>
          <w:szCs w:val="24"/>
        </w:rPr>
      </w:pPr>
      <w:bookmarkStart w:id="52" w:name="_Toc117431435"/>
      <w:bookmarkStart w:id="53" w:name="_Toc118207984"/>
      <w:bookmarkStart w:id="54" w:name="_Toc335915595"/>
      <w:r w:rsidRPr="004A16E8">
        <w:rPr>
          <w:rFonts w:ascii="Arial" w:hAnsi="Arial" w:cs="Arial"/>
          <w:sz w:val="24"/>
          <w:szCs w:val="24"/>
        </w:rPr>
        <w:t>Conformité des Vitamines B complexe comprimés et injectables</w:t>
      </w:r>
      <w:bookmarkEnd w:id="52"/>
      <w:bookmarkEnd w:id="53"/>
    </w:p>
    <w:p w:rsidR="00CB36DD" w:rsidRPr="004A16E8" w:rsidRDefault="00CB36DD" w:rsidP="00CB36DD">
      <w:pPr>
        <w:widowControl w:val="0"/>
        <w:spacing w:after="0" w:line="276" w:lineRule="auto"/>
        <w:jc w:val="both"/>
        <w:rPr>
          <w:rFonts w:ascii="Arial" w:hAnsi="Arial" w:cs="Arial"/>
        </w:rPr>
      </w:pPr>
      <w:r w:rsidRPr="004A16E8">
        <w:rPr>
          <w:rFonts w:ascii="Arial" w:hAnsi="Arial" w:cs="Arial"/>
          <w:u w:val="single"/>
        </w:rPr>
        <w:t>Comprimés :</w:t>
      </w:r>
      <w:r w:rsidRPr="004A16E8">
        <w:rPr>
          <w:rFonts w:ascii="Arial" w:hAnsi="Arial" w:cs="Arial"/>
        </w:rPr>
        <w:t xml:space="preserve"> </w:t>
      </w:r>
    </w:p>
    <w:p w:rsidR="00CB36DD" w:rsidRPr="004A16E8" w:rsidRDefault="00CB36DD" w:rsidP="00CB36DD">
      <w:pPr>
        <w:pStyle w:val="Paragraphedeliste"/>
        <w:widowControl w:val="0"/>
        <w:numPr>
          <w:ilvl w:val="0"/>
          <w:numId w:val="17"/>
        </w:numPr>
        <w:spacing w:line="276" w:lineRule="auto"/>
        <w:jc w:val="both"/>
        <w:rPr>
          <w:sz w:val="22"/>
          <w:szCs w:val="22"/>
          <w:lang w:eastAsia="en-US"/>
        </w:rPr>
      </w:pPr>
      <w:r w:rsidRPr="004A16E8">
        <w:rPr>
          <w:sz w:val="22"/>
          <w:szCs w:val="22"/>
        </w:rPr>
        <w:t>Composition par comprimé enrobé : Thiamine ou vitamine B1 – 15mg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Riboflavine ou vitamine B2 -15mg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Nicotinamide ou Vitamine PP- 50mg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Pyridoxine ou vitamine B6-10mg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w:t>
      </w:r>
      <w:proofErr w:type="spellStart"/>
      <w:r w:rsidRPr="004A16E8">
        <w:rPr>
          <w:sz w:val="22"/>
          <w:szCs w:val="22"/>
        </w:rPr>
        <w:t>Panthotenate</w:t>
      </w:r>
      <w:proofErr w:type="spellEnd"/>
      <w:r w:rsidRPr="004A16E8">
        <w:rPr>
          <w:sz w:val="22"/>
          <w:szCs w:val="22"/>
        </w:rPr>
        <w:t xml:space="preserve"> de calcium ou vitamine B5- 25mg </w:t>
      </w:r>
    </w:p>
    <w:p w:rsidR="00CB36DD" w:rsidRPr="004A16E8" w:rsidRDefault="00CB36DD" w:rsidP="00CB36DD">
      <w:pPr>
        <w:pStyle w:val="Paragraphedeliste"/>
        <w:widowControl w:val="0"/>
        <w:spacing w:line="276" w:lineRule="auto"/>
        <w:ind w:left="0"/>
        <w:jc w:val="both"/>
        <w:rPr>
          <w:sz w:val="22"/>
          <w:szCs w:val="22"/>
        </w:rPr>
      </w:pPr>
      <w:r w:rsidRPr="004A16E8">
        <w:rPr>
          <w:sz w:val="22"/>
          <w:szCs w:val="22"/>
          <w:u w:val="single"/>
        </w:rPr>
        <w:t>Solution injectable</w:t>
      </w:r>
      <w:r w:rsidRPr="004A16E8">
        <w:rPr>
          <w:sz w:val="22"/>
          <w:szCs w:val="22"/>
        </w:rPr>
        <w:t> :</w:t>
      </w:r>
    </w:p>
    <w:p w:rsidR="00CB36DD" w:rsidRPr="004A16E8" w:rsidRDefault="00CB36DD" w:rsidP="00CB36DD">
      <w:pPr>
        <w:pStyle w:val="Paragraphedeliste"/>
        <w:widowControl w:val="0"/>
        <w:numPr>
          <w:ilvl w:val="0"/>
          <w:numId w:val="17"/>
        </w:numPr>
        <w:spacing w:line="276" w:lineRule="auto"/>
        <w:jc w:val="both"/>
        <w:rPr>
          <w:sz w:val="22"/>
          <w:szCs w:val="22"/>
          <w:lang w:eastAsia="en-US"/>
        </w:rPr>
      </w:pPr>
      <w:r w:rsidRPr="004A16E8">
        <w:rPr>
          <w:sz w:val="22"/>
          <w:szCs w:val="22"/>
        </w:rPr>
        <w:t>Composition par ampoule de 2ml : Thiamine ou vitamine B1 – 10mg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Riboflavine ou vitamine B2 -5.47mg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Nicotinamide ou Vitamine PP- 40mg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Pyridoxine ou vitamine B6-4mg</w:t>
      </w:r>
    </w:p>
    <w:p w:rsidR="00CB36DD" w:rsidRPr="004A16E8" w:rsidRDefault="00CB36DD" w:rsidP="00CB36DD">
      <w:pPr>
        <w:pStyle w:val="Paragraphedeliste"/>
        <w:widowControl w:val="0"/>
        <w:spacing w:line="276" w:lineRule="auto"/>
        <w:ind w:left="720"/>
        <w:jc w:val="both"/>
        <w:rPr>
          <w:sz w:val="22"/>
          <w:szCs w:val="22"/>
        </w:rPr>
      </w:pPr>
      <w:r w:rsidRPr="004A16E8">
        <w:rPr>
          <w:sz w:val="22"/>
          <w:szCs w:val="22"/>
        </w:rPr>
        <w:tab/>
      </w:r>
      <w:r w:rsidRPr="004A16E8">
        <w:rPr>
          <w:sz w:val="22"/>
          <w:szCs w:val="22"/>
        </w:rPr>
        <w:tab/>
      </w:r>
      <w:r w:rsidRPr="004A16E8">
        <w:rPr>
          <w:sz w:val="22"/>
          <w:szCs w:val="22"/>
        </w:rPr>
        <w:tab/>
      </w:r>
      <w:r w:rsidRPr="004A16E8">
        <w:rPr>
          <w:sz w:val="22"/>
          <w:szCs w:val="22"/>
        </w:rPr>
        <w:tab/>
        <w:t xml:space="preserve">      </w:t>
      </w:r>
      <w:proofErr w:type="spellStart"/>
      <w:r w:rsidRPr="004A16E8">
        <w:rPr>
          <w:sz w:val="22"/>
          <w:szCs w:val="22"/>
        </w:rPr>
        <w:t>Panthotenate</w:t>
      </w:r>
      <w:proofErr w:type="spellEnd"/>
      <w:r w:rsidRPr="004A16E8">
        <w:rPr>
          <w:sz w:val="22"/>
          <w:szCs w:val="22"/>
        </w:rPr>
        <w:t xml:space="preserve"> de calcium ou vitamine B5- 6mg </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55" w:name="_Toc117431436"/>
      <w:bookmarkStart w:id="56" w:name="_Toc118207985"/>
      <w:r w:rsidRPr="004A16E8">
        <w:rPr>
          <w:rFonts w:ascii="Arial" w:hAnsi="Arial" w:cs="Arial"/>
          <w:sz w:val="24"/>
          <w:szCs w:val="24"/>
        </w:rPr>
        <w:t>Conformité technique des sondes</w:t>
      </w:r>
      <w:bookmarkEnd w:id="54"/>
      <w:bookmarkEnd w:id="55"/>
      <w:bookmarkEnd w:id="56"/>
    </w:p>
    <w:p w:rsidR="00CB36DD" w:rsidRPr="004A16E8" w:rsidRDefault="00CB36DD" w:rsidP="00CB36DD">
      <w:pPr>
        <w:numPr>
          <w:ilvl w:val="0"/>
          <w:numId w:val="21"/>
        </w:numPr>
        <w:suppressAutoHyphens/>
        <w:spacing w:before="120" w:after="120" w:line="276" w:lineRule="auto"/>
        <w:jc w:val="both"/>
        <w:rPr>
          <w:rFonts w:ascii="Arial" w:hAnsi="Arial" w:cs="Arial"/>
        </w:rPr>
      </w:pPr>
      <w:r w:rsidRPr="004A16E8">
        <w:rPr>
          <w:rFonts w:ascii="Arial" w:hAnsi="Arial" w:cs="Arial"/>
        </w:rPr>
        <w:t xml:space="preserve">Les sondes </w:t>
      </w:r>
      <w:proofErr w:type="spellStart"/>
      <w:r w:rsidRPr="004A16E8">
        <w:rPr>
          <w:rFonts w:ascii="Arial" w:hAnsi="Arial" w:cs="Arial"/>
        </w:rPr>
        <w:t>naso</w:t>
      </w:r>
      <w:proofErr w:type="spellEnd"/>
      <w:r w:rsidRPr="004A16E8">
        <w:rPr>
          <w:rFonts w:ascii="Arial" w:hAnsi="Arial" w:cs="Arial"/>
        </w:rPr>
        <w:t xml:space="preserve"> gastriques doivent être en PVC </w:t>
      </w:r>
      <w:proofErr w:type="spellStart"/>
      <w:r w:rsidRPr="004A16E8">
        <w:rPr>
          <w:rFonts w:ascii="Arial" w:hAnsi="Arial" w:cs="Arial"/>
        </w:rPr>
        <w:t>thermosensitif</w:t>
      </w:r>
      <w:proofErr w:type="spellEnd"/>
      <w:r w:rsidRPr="004A16E8">
        <w:rPr>
          <w:rFonts w:ascii="Arial" w:hAnsi="Arial" w:cs="Arial"/>
        </w:rPr>
        <w:t xml:space="preserve"> transparent avec ligne ORX, extrémité distale ouverte, 4 orifices latéraux, marquage centimétrique de 5 à 75 cm, d’une longueur de 100 à 125 cm.</w:t>
      </w:r>
    </w:p>
    <w:p w:rsidR="00CB36DD" w:rsidRPr="004A16E8" w:rsidRDefault="00CB36DD" w:rsidP="00CB36DD">
      <w:pPr>
        <w:numPr>
          <w:ilvl w:val="0"/>
          <w:numId w:val="21"/>
        </w:numPr>
        <w:suppressAutoHyphens/>
        <w:spacing w:before="120" w:after="120" w:line="276" w:lineRule="auto"/>
        <w:jc w:val="both"/>
        <w:rPr>
          <w:rFonts w:ascii="Arial" w:hAnsi="Arial" w:cs="Arial"/>
        </w:rPr>
      </w:pPr>
      <w:r w:rsidRPr="005B6EE2">
        <w:rPr>
          <w:rFonts w:ascii="Arial" w:hAnsi="Arial" w:cs="Arial"/>
        </w:rPr>
        <w:t xml:space="preserve">Les sondes de lavage gastrique (tube de Faucher) doivent être en PVC </w:t>
      </w:r>
      <w:proofErr w:type="spellStart"/>
      <w:r w:rsidRPr="005B6EE2">
        <w:rPr>
          <w:rFonts w:ascii="Arial" w:hAnsi="Arial" w:cs="Arial"/>
        </w:rPr>
        <w:t>thermosensitif</w:t>
      </w:r>
      <w:proofErr w:type="spellEnd"/>
      <w:r w:rsidRPr="005B6EE2">
        <w:rPr>
          <w:rFonts w:ascii="Arial" w:hAnsi="Arial" w:cs="Arial"/>
        </w:rPr>
        <w:t>, à extrémité distale ouverte, 4 orifices latéraux, marquage tous les 5 cm de 15 à 75 cm, d’une longueur de 150 cm</w:t>
      </w:r>
    </w:p>
    <w:p w:rsidR="00CB36DD" w:rsidRPr="004A16E8" w:rsidRDefault="00CB36DD" w:rsidP="00CB36DD">
      <w:pPr>
        <w:numPr>
          <w:ilvl w:val="0"/>
          <w:numId w:val="21"/>
        </w:numPr>
        <w:suppressAutoHyphens/>
        <w:spacing w:before="120" w:after="120" w:line="276" w:lineRule="auto"/>
        <w:jc w:val="both"/>
        <w:rPr>
          <w:rFonts w:ascii="Arial" w:hAnsi="Arial" w:cs="Arial"/>
        </w:rPr>
      </w:pPr>
      <w:r w:rsidRPr="004A16E8">
        <w:rPr>
          <w:rFonts w:ascii="Arial" w:hAnsi="Arial" w:cs="Arial"/>
        </w:rPr>
        <w:t>Les sondes à oxygène doivent être en PVC, d’une longueur de 40 cm, orifice terminal, 8 orifices latéraux, à embout universel de couleur verte.</w:t>
      </w:r>
    </w:p>
    <w:p w:rsidR="00CB36DD" w:rsidRPr="004A16E8" w:rsidRDefault="00CB36DD" w:rsidP="00CB36DD">
      <w:pPr>
        <w:numPr>
          <w:ilvl w:val="0"/>
          <w:numId w:val="21"/>
        </w:numPr>
        <w:suppressAutoHyphens/>
        <w:spacing w:before="120" w:after="120" w:line="276" w:lineRule="auto"/>
        <w:jc w:val="both"/>
        <w:rPr>
          <w:rFonts w:ascii="Arial" w:hAnsi="Arial" w:cs="Arial"/>
        </w:rPr>
      </w:pPr>
      <w:r w:rsidRPr="004A16E8">
        <w:rPr>
          <w:rFonts w:ascii="Arial" w:hAnsi="Arial" w:cs="Arial"/>
        </w:rPr>
        <w:t>Les sondes d’aspiration bronchique (type De Lee) doivent être en PVC, extrémité ouverte, droite et émoussée, un orifice latéral, d’une longueur de 27 cm pour les CH 8, d’une longueur de 47 cm minimum pour les CH 14, CH 16.</w:t>
      </w:r>
    </w:p>
    <w:p w:rsidR="00CB36DD" w:rsidRPr="004A16E8" w:rsidRDefault="00CB36DD" w:rsidP="00CB36DD">
      <w:pPr>
        <w:numPr>
          <w:ilvl w:val="0"/>
          <w:numId w:val="21"/>
        </w:numPr>
        <w:suppressAutoHyphens/>
        <w:spacing w:before="120" w:after="120" w:line="276" w:lineRule="auto"/>
        <w:jc w:val="both"/>
        <w:rPr>
          <w:rFonts w:ascii="Arial" w:hAnsi="Arial" w:cs="Arial"/>
        </w:rPr>
      </w:pPr>
      <w:r w:rsidRPr="005B6EE2">
        <w:rPr>
          <w:rFonts w:ascii="Arial" w:hAnsi="Arial" w:cs="Arial"/>
        </w:rPr>
        <w:t>Les sondes vésicales de Foley doivent être en latex siliconé, droite cylindrique, d’une longueur de 40 cm, à 2 ou à 3 voies avec un ballonnet de 30 ml.</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Toutes les sondes doivent être</w:t>
      </w:r>
    </w:p>
    <w:p w:rsidR="00CB36DD" w:rsidRPr="004A16E8" w:rsidRDefault="00CB36DD" w:rsidP="00CB36DD">
      <w:pPr>
        <w:numPr>
          <w:ilvl w:val="0"/>
          <w:numId w:val="14"/>
        </w:numPr>
        <w:suppressAutoHyphens/>
        <w:spacing w:before="120" w:after="120" w:line="276" w:lineRule="auto"/>
        <w:ind w:left="1134" w:hanging="284"/>
        <w:jc w:val="both"/>
        <w:rPr>
          <w:rFonts w:ascii="Arial" w:hAnsi="Arial" w:cs="Arial"/>
        </w:rPr>
      </w:pPr>
      <w:proofErr w:type="gramStart"/>
      <w:r w:rsidRPr="004A16E8">
        <w:rPr>
          <w:rFonts w:ascii="Arial" w:hAnsi="Arial" w:cs="Arial"/>
        </w:rPr>
        <w:lastRenderedPageBreak/>
        <w:t>à</w:t>
      </w:r>
      <w:proofErr w:type="gramEnd"/>
      <w:r w:rsidRPr="004A16E8">
        <w:rPr>
          <w:rFonts w:ascii="Arial" w:hAnsi="Arial" w:cs="Arial"/>
        </w:rPr>
        <w:t xml:space="preserve"> usage unique ;</w:t>
      </w:r>
    </w:p>
    <w:p w:rsidR="00CB36DD" w:rsidRPr="004A16E8" w:rsidRDefault="00CB36DD" w:rsidP="00CB36DD">
      <w:pPr>
        <w:numPr>
          <w:ilvl w:val="0"/>
          <w:numId w:val="14"/>
        </w:numPr>
        <w:suppressAutoHyphens/>
        <w:spacing w:before="120" w:after="120" w:line="276" w:lineRule="auto"/>
        <w:ind w:left="1134" w:hanging="284"/>
        <w:jc w:val="both"/>
        <w:rPr>
          <w:rFonts w:ascii="Arial" w:hAnsi="Arial" w:cs="Arial"/>
        </w:rPr>
      </w:pPr>
      <w:proofErr w:type="gramStart"/>
      <w:r w:rsidRPr="004A16E8">
        <w:rPr>
          <w:rFonts w:ascii="Arial" w:hAnsi="Arial" w:cs="Arial"/>
        </w:rPr>
        <w:t>stériles</w:t>
      </w:r>
      <w:proofErr w:type="gramEnd"/>
      <w:r w:rsidRPr="004A16E8">
        <w:rPr>
          <w:rFonts w:ascii="Arial" w:hAnsi="Arial" w:cs="Arial"/>
        </w:rPr>
        <w:t xml:space="preserve"> et apyrogènes ;</w:t>
      </w:r>
    </w:p>
    <w:p w:rsidR="00CB36DD" w:rsidRPr="004A16E8" w:rsidRDefault="00CB36DD" w:rsidP="00CB36DD">
      <w:pPr>
        <w:numPr>
          <w:ilvl w:val="0"/>
          <w:numId w:val="14"/>
        </w:numPr>
        <w:suppressAutoHyphens/>
        <w:spacing w:before="120" w:after="120" w:line="276" w:lineRule="auto"/>
        <w:ind w:left="1134" w:hanging="284"/>
        <w:jc w:val="both"/>
        <w:rPr>
          <w:rFonts w:ascii="Arial" w:hAnsi="Arial" w:cs="Arial"/>
        </w:rPr>
      </w:pPr>
      <w:r w:rsidRPr="004A16E8">
        <w:rPr>
          <w:rFonts w:ascii="Arial" w:hAnsi="Arial" w:cs="Arial"/>
        </w:rPr>
        <w:t>Conditionnées dans un protecteur individuel de stérilité sous forme de sachet pelable portant les mentions réglementaires et toutes les indications d’utilisation.</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57" w:name="_Toc335915596"/>
      <w:bookmarkStart w:id="58" w:name="_Toc117431437"/>
      <w:bookmarkStart w:id="59" w:name="_Toc118207986"/>
      <w:r w:rsidRPr="004A16E8">
        <w:rPr>
          <w:rFonts w:ascii="Arial" w:hAnsi="Arial" w:cs="Arial"/>
          <w:sz w:val="24"/>
          <w:szCs w:val="24"/>
        </w:rPr>
        <w:t>Conformité technique de l’ouate synthétique</w:t>
      </w:r>
      <w:bookmarkEnd w:id="57"/>
      <w:bookmarkEnd w:id="58"/>
      <w:bookmarkEnd w:id="59"/>
    </w:p>
    <w:p w:rsidR="00CB36DD" w:rsidRPr="004A16E8" w:rsidRDefault="00CB36DD" w:rsidP="00CB36DD">
      <w:pPr>
        <w:widowControl w:val="0"/>
        <w:tabs>
          <w:tab w:val="left" w:pos="204"/>
        </w:tabs>
        <w:spacing w:before="120" w:after="120" w:line="276" w:lineRule="auto"/>
        <w:jc w:val="both"/>
        <w:rPr>
          <w:rFonts w:ascii="Arial" w:hAnsi="Arial" w:cs="Arial"/>
        </w:rPr>
      </w:pPr>
      <w:r w:rsidRPr="004A16E8">
        <w:rPr>
          <w:rFonts w:ascii="Arial" w:hAnsi="Arial" w:cs="Arial"/>
        </w:rPr>
        <w:t xml:space="preserve">L’ouate orthopédique synthétique, stérilisable à l’autoclave, est composée de fibres synthétiques hydrofuges 100 % polyester. Les dimensions exigées sont 7,5 cm X 2,7 m. </w:t>
      </w:r>
    </w:p>
    <w:p w:rsidR="00CB36DD" w:rsidRPr="004A16E8" w:rsidRDefault="00CB36DD" w:rsidP="00CB36DD">
      <w:pPr>
        <w:widowControl w:val="0"/>
        <w:tabs>
          <w:tab w:val="left" w:pos="204"/>
        </w:tabs>
        <w:spacing w:before="120" w:after="120" w:line="276" w:lineRule="auto"/>
        <w:jc w:val="both"/>
        <w:rPr>
          <w:rFonts w:ascii="Arial" w:hAnsi="Arial" w:cs="Arial"/>
        </w:rPr>
      </w:pPr>
      <w:r w:rsidRPr="004A16E8">
        <w:rPr>
          <w:rFonts w:ascii="Arial" w:hAnsi="Arial" w:cs="Arial"/>
        </w:rPr>
        <w:t>Le conditionnement sera individuel, et un regroupement peut être fait par 12 sous emballage inviolable.</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60" w:name="_Toc335915597"/>
      <w:bookmarkStart w:id="61" w:name="_Toc117431438"/>
      <w:bookmarkStart w:id="62" w:name="_Toc118207987"/>
      <w:r w:rsidRPr="004A16E8">
        <w:rPr>
          <w:rFonts w:ascii="Arial" w:hAnsi="Arial" w:cs="Arial"/>
          <w:sz w:val="24"/>
          <w:szCs w:val="24"/>
        </w:rPr>
        <w:t>Conformité technique des sparadraps</w:t>
      </w:r>
      <w:bookmarkEnd w:id="60"/>
      <w:bookmarkEnd w:id="61"/>
      <w:bookmarkEnd w:id="62"/>
    </w:p>
    <w:p w:rsidR="00CB36DD" w:rsidRPr="004A16E8" w:rsidRDefault="00CB36DD" w:rsidP="00CB36DD">
      <w:pPr>
        <w:widowControl w:val="0"/>
        <w:tabs>
          <w:tab w:val="left" w:pos="204"/>
        </w:tabs>
        <w:spacing w:before="120" w:after="120" w:line="276" w:lineRule="auto"/>
        <w:jc w:val="both"/>
        <w:rPr>
          <w:rFonts w:ascii="Arial" w:hAnsi="Arial" w:cs="Arial"/>
        </w:rPr>
      </w:pPr>
      <w:r w:rsidRPr="004A16E8">
        <w:rPr>
          <w:rFonts w:ascii="Arial" w:hAnsi="Arial" w:cs="Arial"/>
        </w:rPr>
        <w:t>Les sparadraps de dimension 10 cm x 5 m et 18 cm x 5 m perforés doivent répondre aux caractéristiques suivantes :</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proofErr w:type="gramStart"/>
      <w:r w:rsidRPr="004A16E8">
        <w:rPr>
          <w:rFonts w:ascii="Arial" w:hAnsi="Arial" w:cs="Arial"/>
        </w:rPr>
        <w:t>rouleau</w:t>
      </w:r>
      <w:proofErr w:type="gramEnd"/>
      <w:r w:rsidRPr="004A16E8">
        <w:rPr>
          <w:rFonts w:ascii="Arial" w:hAnsi="Arial" w:cs="Arial"/>
        </w:rPr>
        <w:t xml:space="preserve"> de sparadrap tissé à l’oxyde de zinc, de couleur chair ou blanche, constitué d’un support en acétate de cellulose sécable à la main </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proofErr w:type="gramStart"/>
      <w:r w:rsidRPr="004A16E8">
        <w:rPr>
          <w:rFonts w:ascii="Arial" w:hAnsi="Arial" w:cs="Arial"/>
        </w:rPr>
        <w:t>enduit</w:t>
      </w:r>
      <w:proofErr w:type="gramEnd"/>
      <w:r w:rsidRPr="004A16E8">
        <w:rPr>
          <w:rFonts w:ascii="Arial" w:hAnsi="Arial" w:cs="Arial"/>
        </w:rPr>
        <w:t xml:space="preserve"> sur une seule face d’une masse adhésive à l’oxyde de zinc de tolérance cutanée normale, et d’adhésivité importante et prolongée, de manipulation aisée pour l’utilisateur. </w:t>
      </w:r>
      <w:r w:rsidRPr="004A16E8">
        <w:rPr>
          <w:rFonts w:ascii="Arial" w:hAnsi="Arial" w:cs="Arial"/>
          <w:b/>
        </w:rPr>
        <w:t>Toute adhésivité non satisfaisante ne sera pas acceptée</w:t>
      </w:r>
      <w:r w:rsidRPr="004A16E8">
        <w:rPr>
          <w:rFonts w:ascii="Arial" w:hAnsi="Arial" w:cs="Arial"/>
        </w:rPr>
        <w:t>.</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proofErr w:type="gramStart"/>
      <w:r w:rsidRPr="004A16E8">
        <w:rPr>
          <w:rFonts w:ascii="Arial" w:hAnsi="Arial" w:cs="Arial"/>
        </w:rPr>
        <w:t>perforé</w:t>
      </w:r>
      <w:proofErr w:type="gramEnd"/>
      <w:r w:rsidRPr="004A16E8">
        <w:rPr>
          <w:rFonts w:ascii="Arial" w:hAnsi="Arial" w:cs="Arial"/>
        </w:rPr>
        <w:t xml:space="preserve">, hydrophobe, à bord dentelé,  </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proofErr w:type="gramStart"/>
      <w:r w:rsidRPr="004A16E8">
        <w:rPr>
          <w:rFonts w:ascii="Arial" w:hAnsi="Arial" w:cs="Arial"/>
        </w:rPr>
        <w:t>avec</w:t>
      </w:r>
      <w:proofErr w:type="gramEnd"/>
      <w:r w:rsidRPr="004A16E8">
        <w:rPr>
          <w:rFonts w:ascii="Arial" w:hAnsi="Arial" w:cs="Arial"/>
        </w:rPr>
        <w:t xml:space="preserve"> protecteur en polyéthylène gaufré, </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proofErr w:type="gramStart"/>
      <w:r w:rsidRPr="004A16E8">
        <w:rPr>
          <w:rFonts w:ascii="Arial" w:hAnsi="Arial" w:cs="Arial"/>
        </w:rPr>
        <w:t>et</w:t>
      </w:r>
      <w:proofErr w:type="gramEnd"/>
      <w:r w:rsidRPr="004A16E8">
        <w:rPr>
          <w:rFonts w:ascii="Arial" w:hAnsi="Arial" w:cs="Arial"/>
        </w:rPr>
        <w:t xml:space="preserve"> conditionné en emballage protecteur individuel comportant toutes les indications d’usage.</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63" w:name="_Toc117431439"/>
      <w:bookmarkStart w:id="64" w:name="_Toc118207988"/>
      <w:bookmarkStart w:id="65" w:name="_Toc335915604"/>
      <w:r w:rsidRPr="004A16E8">
        <w:rPr>
          <w:rFonts w:ascii="Arial" w:hAnsi="Arial" w:cs="Arial"/>
          <w:sz w:val="24"/>
          <w:szCs w:val="24"/>
        </w:rPr>
        <w:t>Conformité technique des aiguilles épicrâniennes (micro perfuseurs)</w:t>
      </w:r>
      <w:bookmarkEnd w:id="63"/>
      <w:bookmarkEnd w:id="64"/>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r w:rsidRPr="004A16E8">
        <w:rPr>
          <w:rFonts w:ascii="Arial" w:hAnsi="Arial" w:cs="Arial"/>
        </w:rPr>
        <w:t>Les aiguilles épicrâniennes (micro perfuseurs) doivent répondre aux normes suivantes : NFS 90 011, 90 013, 90 015, ISO 594-2, CE</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r w:rsidRPr="004A16E8">
        <w:rPr>
          <w:rFonts w:ascii="Arial" w:hAnsi="Arial" w:cs="Arial"/>
        </w:rPr>
        <w:t>Elles posséderont les éléments constitutifs suivants :</w:t>
      </w:r>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r w:rsidRPr="004A16E8">
        <w:rPr>
          <w:rFonts w:ascii="Arial" w:hAnsi="Arial" w:cs="Arial"/>
        </w:rPr>
        <w:t></w:t>
      </w:r>
      <w:r w:rsidRPr="004A16E8">
        <w:rPr>
          <w:rFonts w:ascii="Arial" w:hAnsi="Arial" w:cs="Arial"/>
        </w:rPr>
        <w:tab/>
        <w:t xml:space="preserve">une aiguille à triple </w:t>
      </w:r>
      <w:proofErr w:type="gramStart"/>
      <w:r w:rsidRPr="004A16E8">
        <w:rPr>
          <w:rFonts w:ascii="Arial" w:hAnsi="Arial" w:cs="Arial"/>
        </w:rPr>
        <w:t>biseau;</w:t>
      </w:r>
      <w:proofErr w:type="gramEnd"/>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r w:rsidRPr="004A16E8">
        <w:rPr>
          <w:rFonts w:ascii="Arial" w:hAnsi="Arial" w:cs="Arial"/>
        </w:rPr>
        <w:t></w:t>
      </w:r>
      <w:r w:rsidRPr="004A16E8">
        <w:rPr>
          <w:rFonts w:ascii="Arial" w:hAnsi="Arial" w:cs="Arial"/>
        </w:rPr>
        <w:tab/>
        <w:t xml:space="preserve">un protecteur </w:t>
      </w:r>
      <w:proofErr w:type="gramStart"/>
      <w:r w:rsidRPr="004A16E8">
        <w:rPr>
          <w:rFonts w:ascii="Arial" w:hAnsi="Arial" w:cs="Arial"/>
        </w:rPr>
        <w:t>d’aiguille;</w:t>
      </w:r>
      <w:proofErr w:type="gramEnd"/>
    </w:p>
    <w:p w:rsidR="00CB36DD" w:rsidRPr="004A16E8" w:rsidRDefault="00CB36DD" w:rsidP="00CB36DD">
      <w:pPr>
        <w:widowControl w:val="0"/>
        <w:numPr>
          <w:ilvl w:val="0"/>
          <w:numId w:val="2"/>
        </w:numPr>
        <w:suppressAutoHyphens/>
        <w:spacing w:before="120" w:after="120" w:line="276" w:lineRule="auto"/>
        <w:ind w:left="1134" w:hanging="284"/>
        <w:jc w:val="both"/>
        <w:rPr>
          <w:rFonts w:ascii="Arial" w:hAnsi="Arial" w:cs="Arial"/>
        </w:rPr>
      </w:pPr>
      <w:r w:rsidRPr="004A16E8">
        <w:rPr>
          <w:rFonts w:ascii="Arial" w:hAnsi="Arial" w:cs="Arial"/>
        </w:rPr>
        <w:t></w:t>
      </w:r>
      <w:r w:rsidRPr="004A16E8">
        <w:rPr>
          <w:rFonts w:ascii="Arial" w:hAnsi="Arial" w:cs="Arial"/>
        </w:rPr>
        <w:tab/>
        <w:t>deux ailettes de couleur normalisée (vert pour le micro perfuseurs 21G et bleu pour le micro perfuseurs 23G</w:t>
      </w:r>
      <w:proofErr w:type="gramStart"/>
      <w:r w:rsidRPr="004A16E8">
        <w:rPr>
          <w:rFonts w:ascii="Arial" w:hAnsi="Arial" w:cs="Arial"/>
        </w:rPr>
        <w:t>);</w:t>
      </w:r>
      <w:proofErr w:type="gramEnd"/>
    </w:p>
    <w:p w:rsidR="00CB36DD" w:rsidRPr="005B6EE2" w:rsidRDefault="00CB36DD" w:rsidP="00CB36DD">
      <w:pPr>
        <w:widowControl w:val="0"/>
        <w:numPr>
          <w:ilvl w:val="0"/>
          <w:numId w:val="24"/>
        </w:numPr>
        <w:tabs>
          <w:tab w:val="left" w:pos="742"/>
        </w:tabs>
        <w:suppressAutoHyphens/>
        <w:spacing w:before="120" w:after="120" w:line="249" w:lineRule="exact"/>
        <w:jc w:val="both"/>
        <w:rPr>
          <w:rFonts w:ascii="Arial" w:hAnsi="Arial" w:cs="Arial"/>
        </w:rPr>
      </w:pPr>
      <w:proofErr w:type="gramStart"/>
      <w:r w:rsidRPr="005B6EE2">
        <w:rPr>
          <w:rFonts w:ascii="Arial" w:hAnsi="Arial" w:cs="Arial"/>
        </w:rPr>
        <w:t>une</w:t>
      </w:r>
      <w:proofErr w:type="gramEnd"/>
      <w:r w:rsidRPr="005B6EE2">
        <w:rPr>
          <w:rFonts w:ascii="Arial" w:hAnsi="Arial" w:cs="Arial"/>
        </w:rPr>
        <w:t xml:space="preserve"> tubulure en PVC souple transparent, de 30cm de longueur;</w:t>
      </w:r>
    </w:p>
    <w:p w:rsidR="00CB36DD" w:rsidRPr="005B6EE2" w:rsidRDefault="00CB36DD" w:rsidP="00CB36DD">
      <w:pPr>
        <w:widowControl w:val="0"/>
        <w:numPr>
          <w:ilvl w:val="0"/>
          <w:numId w:val="24"/>
        </w:numPr>
        <w:tabs>
          <w:tab w:val="left" w:pos="742"/>
        </w:tabs>
        <w:suppressAutoHyphens/>
        <w:spacing w:before="120" w:after="120" w:line="249" w:lineRule="exact"/>
        <w:jc w:val="both"/>
        <w:rPr>
          <w:rFonts w:ascii="Arial" w:hAnsi="Arial" w:cs="Arial"/>
        </w:rPr>
      </w:pPr>
      <w:proofErr w:type="gramStart"/>
      <w:r w:rsidRPr="005B6EE2">
        <w:rPr>
          <w:rFonts w:ascii="Arial" w:hAnsi="Arial" w:cs="Arial"/>
        </w:rPr>
        <w:t>un</w:t>
      </w:r>
      <w:proofErr w:type="gramEnd"/>
      <w:r w:rsidRPr="005B6EE2">
        <w:rPr>
          <w:rFonts w:ascii="Arial" w:hAnsi="Arial" w:cs="Arial"/>
        </w:rPr>
        <w:t xml:space="preserve"> embout terminal </w:t>
      </w:r>
      <w:proofErr w:type="spellStart"/>
      <w:r w:rsidRPr="005B6EE2">
        <w:rPr>
          <w:rFonts w:ascii="Arial" w:hAnsi="Arial" w:cs="Arial"/>
        </w:rPr>
        <w:t>luer</w:t>
      </w:r>
      <w:proofErr w:type="spellEnd"/>
      <w:r w:rsidRPr="005B6EE2">
        <w:rPr>
          <w:rFonts w:ascii="Arial" w:hAnsi="Arial" w:cs="Arial"/>
        </w:rPr>
        <w:t>-lock en PE, de conicité 6%, avec obturateur.</w:t>
      </w:r>
    </w:p>
    <w:p w:rsidR="00CB36DD" w:rsidRPr="005B6EE2" w:rsidRDefault="00CB36DD" w:rsidP="00CB36DD">
      <w:pPr>
        <w:widowControl w:val="0"/>
        <w:numPr>
          <w:ilvl w:val="0"/>
          <w:numId w:val="24"/>
        </w:numPr>
        <w:tabs>
          <w:tab w:val="left" w:pos="742"/>
        </w:tabs>
        <w:suppressAutoHyphens/>
        <w:spacing w:before="120" w:after="120" w:line="249" w:lineRule="exact"/>
        <w:jc w:val="both"/>
        <w:rPr>
          <w:rFonts w:ascii="Arial" w:hAnsi="Arial" w:cs="Arial"/>
        </w:rPr>
      </w:pPr>
      <w:r w:rsidRPr="005B6EE2">
        <w:rPr>
          <w:rFonts w:ascii="Arial" w:hAnsi="Arial" w:cs="Arial"/>
        </w:rPr>
        <w:t>Chaque aiguille épicrânienne doit être conditionnée en emballage individuel de type blister pelable, comportant toutes les indications d’usage, et regroupée en boîte de 100.</w:t>
      </w:r>
    </w:p>
    <w:p w:rsidR="00CB36DD" w:rsidRPr="005B6EE2" w:rsidRDefault="00CB36DD" w:rsidP="00CB36DD">
      <w:pPr>
        <w:widowControl w:val="0"/>
        <w:numPr>
          <w:ilvl w:val="0"/>
          <w:numId w:val="24"/>
        </w:numPr>
        <w:tabs>
          <w:tab w:val="left" w:pos="742"/>
        </w:tabs>
        <w:suppressAutoHyphens/>
        <w:spacing w:before="120" w:after="120" w:line="249" w:lineRule="exact"/>
        <w:jc w:val="both"/>
        <w:rPr>
          <w:rFonts w:ascii="Arial" w:hAnsi="Arial" w:cs="Arial"/>
        </w:rPr>
      </w:pPr>
      <w:r w:rsidRPr="005B6EE2">
        <w:rPr>
          <w:rFonts w:ascii="Arial" w:hAnsi="Arial" w:cs="Arial"/>
        </w:rPr>
        <w:t>Stérilisation à l’oxyde d’éthylène.</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66" w:name="_Toc117431440"/>
      <w:bookmarkStart w:id="67" w:name="_Toc118207989"/>
      <w:r w:rsidRPr="004A16E8">
        <w:rPr>
          <w:rFonts w:ascii="Arial" w:hAnsi="Arial" w:cs="Arial"/>
          <w:sz w:val="24"/>
          <w:szCs w:val="24"/>
        </w:rPr>
        <w:lastRenderedPageBreak/>
        <w:t>Conformité technique des aiguilles cathéters</w:t>
      </w:r>
      <w:bookmarkEnd w:id="66"/>
      <w:bookmarkEnd w:id="67"/>
    </w:p>
    <w:p w:rsidR="00CB36DD" w:rsidRPr="005B6EE2" w:rsidRDefault="00CB36DD" w:rsidP="00CB36DD">
      <w:pPr>
        <w:widowControl w:val="0"/>
        <w:tabs>
          <w:tab w:val="left" w:pos="204"/>
        </w:tabs>
        <w:spacing w:before="120" w:after="120"/>
        <w:jc w:val="both"/>
        <w:rPr>
          <w:rFonts w:ascii="Arial" w:hAnsi="Arial" w:cs="Arial"/>
        </w:rPr>
      </w:pPr>
      <w:r w:rsidRPr="005B6EE2">
        <w:rPr>
          <w:rFonts w:ascii="Arial" w:hAnsi="Arial" w:cs="Arial"/>
        </w:rPr>
        <w:t>Les cathéters doivent répondre aux normes AFNOR NF S 90-040.</w:t>
      </w:r>
    </w:p>
    <w:p w:rsidR="00CB36DD" w:rsidRPr="005B6EE2" w:rsidRDefault="00CB36DD" w:rsidP="00CB36DD">
      <w:pPr>
        <w:widowControl w:val="0"/>
        <w:tabs>
          <w:tab w:val="left" w:pos="204"/>
        </w:tabs>
        <w:spacing w:before="120" w:after="120"/>
        <w:jc w:val="both"/>
        <w:rPr>
          <w:rFonts w:ascii="Arial" w:hAnsi="Arial" w:cs="Arial"/>
        </w:rPr>
      </w:pPr>
      <w:r w:rsidRPr="005B6EE2">
        <w:rPr>
          <w:rFonts w:ascii="Arial" w:hAnsi="Arial" w:cs="Arial"/>
        </w:rPr>
        <w:t>Les cathéters doivent avoir :</w:t>
      </w:r>
    </w:p>
    <w:p w:rsidR="00CB36DD" w:rsidRPr="005B6EE2" w:rsidRDefault="00CB36DD" w:rsidP="00CB36DD">
      <w:pPr>
        <w:widowControl w:val="0"/>
        <w:numPr>
          <w:ilvl w:val="0"/>
          <w:numId w:val="24"/>
        </w:numPr>
        <w:tabs>
          <w:tab w:val="left" w:pos="742"/>
        </w:tabs>
        <w:suppressAutoHyphens/>
        <w:spacing w:before="120" w:after="120" w:line="249" w:lineRule="exact"/>
        <w:jc w:val="both"/>
        <w:rPr>
          <w:rFonts w:ascii="Arial" w:hAnsi="Arial" w:cs="Arial"/>
        </w:rPr>
      </w:pPr>
      <w:proofErr w:type="gramStart"/>
      <w:r w:rsidRPr="005B6EE2">
        <w:rPr>
          <w:rFonts w:ascii="Arial" w:hAnsi="Arial" w:cs="Arial"/>
        </w:rPr>
        <w:t>une</w:t>
      </w:r>
      <w:proofErr w:type="gramEnd"/>
      <w:r w:rsidRPr="005B6EE2">
        <w:rPr>
          <w:rFonts w:ascii="Arial" w:hAnsi="Arial" w:cs="Arial"/>
        </w:rPr>
        <w:t xml:space="preserve"> aiguille siliconée, effilée à triple biseau avec ergot d’orientation assurant une pénétration plus facile et moins traumatisante;</w:t>
      </w:r>
    </w:p>
    <w:p w:rsidR="00CB36DD" w:rsidRPr="005B6EE2" w:rsidRDefault="00CB36DD" w:rsidP="00CB36DD">
      <w:pPr>
        <w:widowControl w:val="0"/>
        <w:numPr>
          <w:ilvl w:val="0"/>
          <w:numId w:val="24"/>
        </w:numPr>
        <w:suppressAutoHyphens/>
        <w:spacing w:before="120" w:after="120" w:line="249" w:lineRule="exact"/>
        <w:jc w:val="both"/>
        <w:rPr>
          <w:rFonts w:ascii="Arial" w:hAnsi="Arial" w:cs="Arial"/>
        </w:rPr>
      </w:pPr>
      <w:proofErr w:type="gramStart"/>
      <w:r w:rsidRPr="005B6EE2">
        <w:rPr>
          <w:rFonts w:ascii="Arial" w:hAnsi="Arial" w:cs="Arial"/>
        </w:rPr>
        <w:t>une</w:t>
      </w:r>
      <w:proofErr w:type="gramEnd"/>
      <w:r w:rsidRPr="005B6EE2">
        <w:rPr>
          <w:rFonts w:ascii="Arial" w:hAnsi="Arial" w:cs="Arial"/>
        </w:rPr>
        <w:t xml:space="preserve"> canule d’au moins 40 mm de long pour les cathéters inférieurs à Gauge 20</w:t>
      </w:r>
    </w:p>
    <w:p w:rsidR="00CB36DD" w:rsidRPr="005B6EE2" w:rsidRDefault="00CB36DD" w:rsidP="00CB36DD">
      <w:pPr>
        <w:widowControl w:val="0"/>
        <w:numPr>
          <w:ilvl w:val="0"/>
          <w:numId w:val="24"/>
        </w:numPr>
        <w:suppressAutoHyphens/>
        <w:spacing w:before="120" w:after="120" w:line="249" w:lineRule="exact"/>
        <w:jc w:val="both"/>
        <w:rPr>
          <w:rFonts w:ascii="Arial" w:hAnsi="Arial" w:cs="Arial"/>
        </w:rPr>
      </w:pPr>
      <w:proofErr w:type="gramStart"/>
      <w:r w:rsidRPr="005B6EE2">
        <w:rPr>
          <w:rFonts w:ascii="Arial" w:hAnsi="Arial" w:cs="Arial"/>
        </w:rPr>
        <w:t>des</w:t>
      </w:r>
      <w:proofErr w:type="gramEnd"/>
      <w:r w:rsidRPr="005B6EE2">
        <w:rPr>
          <w:rFonts w:ascii="Arial" w:hAnsi="Arial" w:cs="Arial"/>
        </w:rPr>
        <w:t xml:space="preserve"> ailettes flexibles assurant une fixation sûre et confortable</w:t>
      </w:r>
    </w:p>
    <w:p w:rsidR="00CB36DD" w:rsidRPr="005B6EE2" w:rsidRDefault="00CB36DD" w:rsidP="00CB36DD">
      <w:pPr>
        <w:widowControl w:val="0"/>
        <w:numPr>
          <w:ilvl w:val="0"/>
          <w:numId w:val="24"/>
        </w:numPr>
        <w:suppressAutoHyphens/>
        <w:spacing w:before="120" w:after="120" w:line="249" w:lineRule="exact"/>
        <w:jc w:val="both"/>
        <w:rPr>
          <w:rFonts w:ascii="Arial" w:hAnsi="Arial" w:cs="Arial"/>
        </w:rPr>
      </w:pPr>
      <w:proofErr w:type="gramStart"/>
      <w:r w:rsidRPr="005B6EE2">
        <w:rPr>
          <w:rFonts w:ascii="Arial" w:hAnsi="Arial" w:cs="Arial"/>
        </w:rPr>
        <w:t>une</w:t>
      </w:r>
      <w:proofErr w:type="gramEnd"/>
      <w:r w:rsidRPr="005B6EE2">
        <w:rPr>
          <w:rFonts w:ascii="Arial" w:hAnsi="Arial" w:cs="Arial"/>
        </w:rPr>
        <w:t xml:space="preserve"> chambre de reflux transparente avec obturateur à membrane hydrophobe et obturateur universel.</w:t>
      </w:r>
    </w:p>
    <w:p w:rsidR="00CB36DD" w:rsidRPr="005B6EE2" w:rsidRDefault="00CB36DD" w:rsidP="00CB36DD">
      <w:pPr>
        <w:widowControl w:val="0"/>
        <w:numPr>
          <w:ilvl w:val="0"/>
          <w:numId w:val="24"/>
        </w:numPr>
        <w:suppressAutoHyphens/>
        <w:spacing w:before="120" w:after="120" w:line="249" w:lineRule="exact"/>
        <w:jc w:val="both"/>
        <w:rPr>
          <w:rFonts w:ascii="Arial" w:hAnsi="Arial" w:cs="Arial"/>
        </w:rPr>
      </w:pPr>
      <w:r w:rsidRPr="005B6EE2">
        <w:rPr>
          <w:rFonts w:ascii="Arial" w:hAnsi="Arial" w:cs="Arial"/>
        </w:rPr>
        <w:t>Un site d’injection</w:t>
      </w:r>
    </w:p>
    <w:p w:rsidR="00CB36DD" w:rsidRPr="005B6EE2" w:rsidRDefault="00CB36DD" w:rsidP="00CB36DD">
      <w:pPr>
        <w:widowControl w:val="0"/>
        <w:tabs>
          <w:tab w:val="left" w:pos="204"/>
        </w:tabs>
        <w:suppressAutoHyphens/>
        <w:spacing w:before="120" w:after="120" w:line="240" w:lineRule="auto"/>
        <w:jc w:val="both"/>
        <w:rPr>
          <w:rFonts w:ascii="Arial" w:eastAsia="Times New Roman" w:hAnsi="Arial" w:cs="Arial"/>
          <w:lang w:eastAsia="fr-FR"/>
        </w:rPr>
      </w:pPr>
      <w:r w:rsidRPr="005B6EE2">
        <w:rPr>
          <w:rFonts w:ascii="Arial" w:eastAsia="Times New Roman" w:hAnsi="Arial" w:cs="Arial"/>
          <w:lang w:eastAsia="fr-FR"/>
        </w:rPr>
        <w:t>Les cathéters doivent être :</w:t>
      </w:r>
    </w:p>
    <w:p w:rsidR="00CB36DD" w:rsidRPr="005B6EE2" w:rsidRDefault="00CB36DD" w:rsidP="00CB36DD">
      <w:pPr>
        <w:widowControl w:val="0"/>
        <w:numPr>
          <w:ilvl w:val="0"/>
          <w:numId w:val="25"/>
        </w:numPr>
        <w:suppressAutoHyphens/>
        <w:spacing w:before="120" w:after="120" w:line="249" w:lineRule="exact"/>
        <w:jc w:val="both"/>
        <w:rPr>
          <w:rFonts w:ascii="Arial" w:hAnsi="Arial" w:cs="Arial"/>
        </w:rPr>
      </w:pPr>
      <w:proofErr w:type="gramStart"/>
      <w:r w:rsidRPr="005B6EE2">
        <w:rPr>
          <w:rFonts w:ascii="Arial" w:hAnsi="Arial" w:cs="Arial"/>
        </w:rPr>
        <w:t>à</w:t>
      </w:r>
      <w:proofErr w:type="gramEnd"/>
      <w:r w:rsidRPr="005B6EE2">
        <w:rPr>
          <w:rFonts w:ascii="Arial" w:hAnsi="Arial" w:cs="Arial"/>
        </w:rPr>
        <w:t xml:space="preserve"> usage unique ;</w:t>
      </w:r>
    </w:p>
    <w:p w:rsidR="00CB36DD" w:rsidRPr="005B6EE2" w:rsidRDefault="00CB36DD" w:rsidP="00CB36DD">
      <w:pPr>
        <w:widowControl w:val="0"/>
        <w:numPr>
          <w:ilvl w:val="0"/>
          <w:numId w:val="25"/>
        </w:numPr>
        <w:suppressAutoHyphens/>
        <w:spacing w:before="120" w:after="120" w:line="249" w:lineRule="exact"/>
        <w:jc w:val="both"/>
        <w:rPr>
          <w:rFonts w:ascii="Arial" w:hAnsi="Arial" w:cs="Arial"/>
        </w:rPr>
      </w:pPr>
      <w:proofErr w:type="gramStart"/>
      <w:r w:rsidRPr="005B6EE2">
        <w:rPr>
          <w:rFonts w:ascii="Arial" w:hAnsi="Arial" w:cs="Arial"/>
        </w:rPr>
        <w:t>stérile</w:t>
      </w:r>
      <w:proofErr w:type="gramEnd"/>
      <w:r w:rsidRPr="005B6EE2">
        <w:rPr>
          <w:rFonts w:ascii="Arial" w:hAnsi="Arial" w:cs="Arial"/>
        </w:rPr>
        <w:t xml:space="preserve"> et apyrogène ;</w:t>
      </w:r>
    </w:p>
    <w:p w:rsidR="00CB36DD" w:rsidRPr="005B6EE2" w:rsidRDefault="00CB36DD" w:rsidP="00CB36DD">
      <w:pPr>
        <w:widowControl w:val="0"/>
        <w:numPr>
          <w:ilvl w:val="0"/>
          <w:numId w:val="25"/>
        </w:numPr>
        <w:tabs>
          <w:tab w:val="left" w:pos="742"/>
        </w:tabs>
        <w:suppressAutoHyphens/>
        <w:spacing w:before="120" w:after="120" w:line="249" w:lineRule="exact"/>
        <w:jc w:val="both"/>
        <w:rPr>
          <w:rFonts w:ascii="Arial" w:hAnsi="Arial" w:cs="Arial"/>
        </w:rPr>
      </w:pPr>
      <w:proofErr w:type="gramStart"/>
      <w:r w:rsidRPr="005B6EE2">
        <w:rPr>
          <w:rFonts w:ascii="Arial" w:hAnsi="Arial" w:cs="Arial"/>
        </w:rPr>
        <w:t>conditionnés</w:t>
      </w:r>
      <w:proofErr w:type="gramEnd"/>
      <w:r w:rsidRPr="005B6EE2">
        <w:rPr>
          <w:rFonts w:ascii="Arial" w:hAnsi="Arial" w:cs="Arial"/>
        </w:rPr>
        <w:t xml:space="preserve"> dans un emballage individuel de stérilité sous forme de blister pelable portant les mentions réglementaires et toutes les indications d’utilisation.</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68" w:name="_Toc117431441"/>
      <w:bookmarkStart w:id="69" w:name="_Toc118207990"/>
      <w:r w:rsidRPr="004A16E8">
        <w:rPr>
          <w:rFonts w:ascii="Arial" w:hAnsi="Arial" w:cs="Arial"/>
          <w:sz w:val="24"/>
          <w:szCs w:val="24"/>
        </w:rPr>
        <w:t>Conformité technique des perfuseurs</w:t>
      </w:r>
      <w:bookmarkEnd w:id="68"/>
      <w:bookmarkEnd w:id="69"/>
    </w:p>
    <w:p w:rsidR="00CB36DD" w:rsidRPr="005B6EE2" w:rsidRDefault="00CB36DD" w:rsidP="00CB36DD">
      <w:pPr>
        <w:rPr>
          <w:rFonts w:ascii="Arial" w:hAnsi="Arial" w:cs="Arial"/>
        </w:rPr>
      </w:pPr>
      <w:r w:rsidRPr="005B6EE2">
        <w:rPr>
          <w:rFonts w:ascii="Arial" w:hAnsi="Arial" w:cs="Arial"/>
        </w:rPr>
        <w:t>Les perfuseurs devront répondre aux normes : AFNOR : NF S 90 202 ou ISO 8536-4 ou Pharmacopée Européenne (CE). Aucune fuite dans le dispositif n’est tolérée.</w:t>
      </w:r>
    </w:p>
    <w:p w:rsidR="00CB36DD" w:rsidRPr="005B6EE2" w:rsidRDefault="00CB36DD" w:rsidP="00CB36DD">
      <w:pPr>
        <w:rPr>
          <w:rFonts w:ascii="Arial" w:hAnsi="Arial" w:cs="Arial"/>
        </w:rPr>
      </w:pPr>
      <w:r w:rsidRPr="005B6EE2">
        <w:rPr>
          <w:rFonts w:ascii="Arial" w:hAnsi="Arial" w:cs="Arial"/>
        </w:rPr>
        <w:t>Le perfuseur devra comporter les éléments constitutifs suivants :</w:t>
      </w:r>
      <w:r w:rsidRPr="005B6EE2">
        <w:rPr>
          <w:rFonts w:ascii="Arial" w:hAnsi="Arial" w:cs="Arial"/>
        </w:rPr>
        <w:tab/>
      </w:r>
    </w:p>
    <w:p w:rsidR="00CB36DD" w:rsidRPr="005B6EE2" w:rsidRDefault="00CB36DD" w:rsidP="00CB36DD">
      <w:pPr>
        <w:pStyle w:val="Paragraphedeliste"/>
        <w:numPr>
          <w:ilvl w:val="0"/>
          <w:numId w:val="27"/>
        </w:numPr>
      </w:pPr>
      <w:proofErr w:type="gramStart"/>
      <w:r w:rsidRPr="005B6EE2">
        <w:rPr>
          <w:sz w:val="22"/>
        </w:rPr>
        <w:t>un</w:t>
      </w:r>
      <w:proofErr w:type="gramEnd"/>
      <w:r w:rsidRPr="005B6EE2">
        <w:rPr>
          <w:sz w:val="22"/>
        </w:rPr>
        <w:t xml:space="preserve"> perforateur avec prise d’air incorporée à membrane hydrophobe, obturable par clapet, assurant la filtration bactériologique de l’air ;</w:t>
      </w:r>
    </w:p>
    <w:p w:rsidR="00CB36DD" w:rsidRPr="005B6EE2" w:rsidRDefault="00CB36DD" w:rsidP="00CB36DD">
      <w:pPr>
        <w:pStyle w:val="Paragraphedeliste"/>
        <w:numPr>
          <w:ilvl w:val="0"/>
          <w:numId w:val="27"/>
        </w:numPr>
      </w:pPr>
      <w:proofErr w:type="gramStart"/>
      <w:r w:rsidRPr="005B6EE2">
        <w:rPr>
          <w:sz w:val="22"/>
        </w:rPr>
        <w:t>une</w:t>
      </w:r>
      <w:proofErr w:type="gramEnd"/>
      <w:r w:rsidRPr="005B6EE2">
        <w:rPr>
          <w:sz w:val="22"/>
        </w:rPr>
        <w:t xml:space="preserve"> chambre semi-rigide transparente avec compte-gouttes calibré à 20 gouttes/ml, d’un volume de 8 ml, avec un filtre (optionnel) à particule d’une porosité de 15 microns </w:t>
      </w:r>
    </w:p>
    <w:p w:rsidR="00CB36DD" w:rsidRPr="005B6EE2" w:rsidRDefault="00CB36DD" w:rsidP="00CB36DD">
      <w:pPr>
        <w:pStyle w:val="Paragraphedeliste"/>
        <w:numPr>
          <w:ilvl w:val="0"/>
          <w:numId w:val="27"/>
        </w:numPr>
      </w:pPr>
      <w:proofErr w:type="gramStart"/>
      <w:r w:rsidRPr="005B6EE2">
        <w:rPr>
          <w:sz w:val="22"/>
        </w:rPr>
        <w:t>un</w:t>
      </w:r>
      <w:proofErr w:type="gramEnd"/>
      <w:r w:rsidRPr="005B6EE2">
        <w:rPr>
          <w:sz w:val="22"/>
        </w:rPr>
        <w:t xml:space="preserve"> régulateur de débit par pince à roulette ;</w:t>
      </w:r>
    </w:p>
    <w:p w:rsidR="00CB36DD" w:rsidRPr="005B6EE2" w:rsidRDefault="00CB36DD" w:rsidP="00CB36DD">
      <w:pPr>
        <w:pStyle w:val="Paragraphedeliste"/>
        <w:numPr>
          <w:ilvl w:val="0"/>
          <w:numId w:val="27"/>
        </w:numPr>
      </w:pPr>
      <w:proofErr w:type="gramStart"/>
      <w:r w:rsidRPr="005B6EE2">
        <w:rPr>
          <w:sz w:val="22"/>
        </w:rPr>
        <w:t>une</w:t>
      </w:r>
      <w:proofErr w:type="gramEnd"/>
      <w:r w:rsidRPr="005B6EE2">
        <w:rPr>
          <w:sz w:val="22"/>
        </w:rPr>
        <w:t xml:space="preserve"> tubulure en PVC transparent de diamètre intérieur de 3 mm et d’une longueur de 170 cm au minimum ;</w:t>
      </w:r>
    </w:p>
    <w:p w:rsidR="00CB36DD" w:rsidRPr="005B6EE2" w:rsidRDefault="00CB36DD" w:rsidP="00CB36DD">
      <w:pPr>
        <w:pStyle w:val="Paragraphedeliste"/>
        <w:numPr>
          <w:ilvl w:val="0"/>
          <w:numId w:val="27"/>
        </w:numPr>
      </w:pPr>
      <w:proofErr w:type="gramStart"/>
      <w:r w:rsidRPr="005B6EE2">
        <w:rPr>
          <w:sz w:val="22"/>
        </w:rPr>
        <w:t>un</w:t>
      </w:r>
      <w:proofErr w:type="gramEnd"/>
      <w:r w:rsidRPr="005B6EE2">
        <w:rPr>
          <w:sz w:val="22"/>
        </w:rPr>
        <w:t xml:space="preserve"> dispositif pour injections extemporanées (site en Y ou robinet à 3 voies) situé à une distance au moins égale à 20 cm de l’embout terminal. Les sites d’injections situés à une distance inférieure à 20 cm de l’embout terminal ne sont pas acceptés.</w:t>
      </w:r>
    </w:p>
    <w:p w:rsidR="00CB36DD" w:rsidRPr="005B6EE2" w:rsidRDefault="00CB36DD" w:rsidP="00CB36DD">
      <w:pPr>
        <w:pStyle w:val="Paragraphedeliste"/>
        <w:numPr>
          <w:ilvl w:val="0"/>
          <w:numId w:val="27"/>
        </w:numPr>
      </w:pPr>
      <w:r w:rsidRPr="005B6EE2">
        <w:rPr>
          <w:sz w:val="22"/>
        </w:rPr>
        <w:t>Attention : les nouvelles dispositions en matière de précautions contre la transmission du VIH interdisent les sites d’injections en caoutchouc intercalés dans la ligne en PVC.</w:t>
      </w:r>
    </w:p>
    <w:p w:rsidR="00CB36DD" w:rsidRPr="005B6EE2" w:rsidRDefault="00CB36DD" w:rsidP="00CB36DD">
      <w:pPr>
        <w:pStyle w:val="Paragraphedeliste"/>
        <w:numPr>
          <w:ilvl w:val="0"/>
          <w:numId w:val="27"/>
        </w:numPr>
      </w:pPr>
      <w:proofErr w:type="gramStart"/>
      <w:r w:rsidRPr="005B6EE2">
        <w:rPr>
          <w:sz w:val="22"/>
        </w:rPr>
        <w:t>un</w:t>
      </w:r>
      <w:proofErr w:type="gramEnd"/>
      <w:r w:rsidRPr="005B6EE2">
        <w:rPr>
          <w:sz w:val="22"/>
        </w:rPr>
        <w:t xml:space="preserve"> embout mâle « </w:t>
      </w:r>
      <w:proofErr w:type="spellStart"/>
      <w:r w:rsidRPr="005B6EE2">
        <w:rPr>
          <w:sz w:val="22"/>
        </w:rPr>
        <w:t>luer</w:t>
      </w:r>
      <w:proofErr w:type="spellEnd"/>
      <w:r w:rsidRPr="005B6EE2">
        <w:rPr>
          <w:sz w:val="22"/>
        </w:rPr>
        <w:t xml:space="preserve"> lock » terminal ;</w:t>
      </w:r>
    </w:p>
    <w:p w:rsidR="00CB36DD" w:rsidRPr="005B6EE2" w:rsidRDefault="00CB36DD" w:rsidP="00CB36DD">
      <w:pPr>
        <w:pStyle w:val="Paragraphedeliste"/>
        <w:numPr>
          <w:ilvl w:val="0"/>
          <w:numId w:val="27"/>
        </w:numPr>
      </w:pPr>
      <w:proofErr w:type="gramStart"/>
      <w:r w:rsidRPr="005B6EE2">
        <w:rPr>
          <w:sz w:val="22"/>
        </w:rPr>
        <w:t>une</w:t>
      </w:r>
      <w:proofErr w:type="gramEnd"/>
      <w:r w:rsidRPr="005B6EE2">
        <w:rPr>
          <w:sz w:val="22"/>
        </w:rPr>
        <w:t xml:space="preserve"> aiguille de veine 20 G accompagnée</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70" w:name="_Toc117431442"/>
      <w:bookmarkStart w:id="71" w:name="_Toc118207991"/>
      <w:r w:rsidRPr="004A16E8">
        <w:rPr>
          <w:rFonts w:ascii="Arial" w:hAnsi="Arial" w:cs="Arial"/>
          <w:sz w:val="24"/>
          <w:szCs w:val="24"/>
        </w:rPr>
        <w:t>Conformité technique des transfuseurs</w:t>
      </w:r>
      <w:bookmarkEnd w:id="70"/>
      <w:bookmarkEnd w:id="71"/>
    </w:p>
    <w:p w:rsidR="00CB36DD" w:rsidRPr="004A16E8" w:rsidRDefault="00CB36DD" w:rsidP="00CB36DD">
      <w:pPr>
        <w:rPr>
          <w:rFonts w:ascii="Arial" w:hAnsi="Arial" w:cs="Arial"/>
        </w:rPr>
      </w:pPr>
      <w:r w:rsidRPr="004A16E8">
        <w:rPr>
          <w:rFonts w:ascii="Arial" w:hAnsi="Arial" w:cs="Arial"/>
        </w:rPr>
        <w:t>Les transfuseurs devront répondre aux normes AFNOR : NF S 90 202 ou ISO 8536-4 ou Pharmacopée Européenne (CE). Aucune fuite dans le dispositif n’est tolérée.</w:t>
      </w:r>
    </w:p>
    <w:p w:rsidR="00CB36DD" w:rsidRPr="004A16E8" w:rsidRDefault="00CB36DD" w:rsidP="00CB36DD">
      <w:pPr>
        <w:rPr>
          <w:rFonts w:ascii="Arial" w:hAnsi="Arial" w:cs="Arial"/>
        </w:rPr>
      </w:pPr>
      <w:r w:rsidRPr="004A16E8">
        <w:rPr>
          <w:rFonts w:ascii="Arial" w:hAnsi="Arial" w:cs="Arial"/>
        </w:rPr>
        <w:t>Le transfuseur devra comporter les éléments constitutifs suivants :</w:t>
      </w:r>
    </w:p>
    <w:p w:rsidR="00CB36DD" w:rsidRPr="004A16E8" w:rsidRDefault="00CB36DD" w:rsidP="00CB36DD">
      <w:pPr>
        <w:rPr>
          <w:rFonts w:ascii="Arial" w:hAnsi="Arial" w:cs="Arial"/>
        </w:rPr>
      </w:pPr>
      <w:r w:rsidRPr="004A16E8">
        <w:rPr>
          <w:rFonts w:ascii="Arial" w:hAnsi="Arial" w:cs="Arial"/>
        </w:rPr>
        <w:lastRenderedPageBreak/>
        <w:t></w:t>
      </w:r>
      <w:r w:rsidRPr="004A16E8">
        <w:rPr>
          <w:rFonts w:ascii="Arial" w:hAnsi="Arial" w:cs="Arial"/>
        </w:rPr>
        <w:tab/>
        <w:t>un perforateur avec prise d’air incorporée à membrane hydrophobe, obturable par clapet, assurant la filtration bactériologique de l’air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une chambre semi-rigide transparent avec compte-gouttes calibré à 20 gouttes/ml, d’un volume de 8 ml, avec un filtre de 10 cm</w:t>
      </w:r>
      <w:r w:rsidRPr="005B6EE2">
        <w:rPr>
          <w:rFonts w:ascii="Arial" w:hAnsi="Arial" w:cs="Arial"/>
          <w:vertAlign w:val="superscript"/>
        </w:rPr>
        <w:t>2</w:t>
      </w:r>
      <w:r w:rsidRPr="004A16E8">
        <w:rPr>
          <w:rFonts w:ascii="Arial" w:hAnsi="Arial" w:cs="Arial"/>
        </w:rPr>
        <w:t xml:space="preserve"> à mailles de 200 microns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un régulateur de débit par pince à roulette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 xml:space="preserve">une tubulure en PVC transparent de diamètre intérieur de 3 mm et d’une longueur de 170 cm au minimum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Un site d’injection ou un dispositif pour injections extemporanées (site en Y ou robinet à 3 voies) situé à une distance au moins égale à 20 cm de l’embout terminal. Les sites d’injections situés à une distance inférieure à 20 cm de l’embout terminal ne sont pas acceptés.</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Attention : les nouvelles dispositions en matière de précautions contre la transmission du VIH interdisent les sites d’injections en caoutchouc intercalés dans la ligne en PVC.</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 xml:space="preserve">un embout mâle « </w:t>
      </w:r>
      <w:proofErr w:type="spellStart"/>
      <w:r w:rsidRPr="004A16E8">
        <w:rPr>
          <w:rFonts w:ascii="Arial" w:hAnsi="Arial" w:cs="Arial"/>
        </w:rPr>
        <w:t>luer</w:t>
      </w:r>
      <w:proofErr w:type="spellEnd"/>
      <w:r w:rsidRPr="004A16E8">
        <w:rPr>
          <w:rFonts w:ascii="Arial" w:hAnsi="Arial" w:cs="Arial"/>
        </w:rPr>
        <w:t xml:space="preserve"> lock » terminal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une aiguille de veine 21G accompagnée.</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72" w:name="_Toc117431443"/>
      <w:bookmarkStart w:id="73" w:name="_Toc118207992"/>
      <w:r w:rsidRPr="004A16E8">
        <w:rPr>
          <w:rFonts w:ascii="Arial" w:hAnsi="Arial" w:cs="Arial"/>
          <w:sz w:val="24"/>
          <w:szCs w:val="24"/>
        </w:rPr>
        <w:t>Conformité des poches collectrices d’urine</w:t>
      </w:r>
      <w:bookmarkEnd w:id="72"/>
      <w:bookmarkEnd w:id="73"/>
    </w:p>
    <w:p w:rsidR="00CB36DD" w:rsidRPr="004A16E8" w:rsidRDefault="00CB36DD" w:rsidP="00CB36DD">
      <w:pPr>
        <w:rPr>
          <w:rFonts w:ascii="Arial" w:hAnsi="Arial" w:cs="Arial"/>
        </w:rPr>
      </w:pPr>
      <w:r w:rsidRPr="004A16E8">
        <w:rPr>
          <w:rFonts w:ascii="Arial" w:hAnsi="Arial" w:cs="Arial"/>
        </w:rPr>
        <w:t>Elle doit répondre aux normes ISO ou NFS 90-631.</w:t>
      </w:r>
    </w:p>
    <w:p w:rsidR="00CB36DD" w:rsidRPr="004A16E8" w:rsidRDefault="00CB36DD" w:rsidP="00CB36DD">
      <w:pPr>
        <w:rPr>
          <w:rFonts w:ascii="Arial" w:hAnsi="Arial" w:cs="Arial"/>
        </w:rPr>
      </w:pPr>
      <w:r w:rsidRPr="004A16E8">
        <w:rPr>
          <w:rFonts w:ascii="Arial" w:hAnsi="Arial" w:cs="Arial"/>
        </w:rPr>
        <w:t>La poche collectrice d’urine doit avoir les caractéristiques suivantes : en PVC transparent à fond blanc, gradué en 100 ml, de volume nominal de 2 litres, avec une valve anti-retour et un robinet de vidange de type push-pull. Elle est munie de 2 orifices de suspension renforcés, d’une tubulure translucide de longueur 90 cm, de diamètre intérieur de 5mm, d’un raccord cranté avec capuchon, conique, normalisé, adaptable sur toutes les sondes vésicales et étuis péniens.</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74" w:name="_Toc117431444"/>
      <w:bookmarkStart w:id="75" w:name="_Toc118207993"/>
      <w:r w:rsidRPr="004A16E8">
        <w:rPr>
          <w:rFonts w:ascii="Arial" w:hAnsi="Arial" w:cs="Arial"/>
          <w:sz w:val="24"/>
          <w:szCs w:val="24"/>
        </w:rPr>
        <w:t>Conformité technique des films radiographiques</w:t>
      </w:r>
      <w:bookmarkEnd w:id="65"/>
      <w:bookmarkEnd w:id="74"/>
      <w:bookmarkEnd w:id="75"/>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films de radiographie devront être fabriqués selon les normes ISO 9002, ou EN 46002. Ils devront être munis d’intercalaires, ou tropicalisés (avec certificat à l’appui).</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76" w:name="_Toc117431445"/>
      <w:bookmarkStart w:id="77" w:name="_Toc118207994"/>
      <w:bookmarkStart w:id="78" w:name="_Toc335915607"/>
      <w:r w:rsidRPr="004A16E8">
        <w:rPr>
          <w:rFonts w:ascii="Arial" w:hAnsi="Arial" w:cs="Arial"/>
          <w:sz w:val="24"/>
          <w:szCs w:val="24"/>
        </w:rPr>
        <w:t>Conformité des gants chirurgicaux</w:t>
      </w:r>
      <w:bookmarkEnd w:id="76"/>
      <w:bookmarkEnd w:id="77"/>
    </w:p>
    <w:p w:rsidR="00CB36DD" w:rsidRPr="004A16E8" w:rsidRDefault="00CB36DD" w:rsidP="00CB36DD">
      <w:pPr>
        <w:rPr>
          <w:rFonts w:ascii="Arial" w:hAnsi="Arial" w:cs="Arial"/>
        </w:rPr>
      </w:pPr>
      <w:r w:rsidRPr="004A16E8">
        <w:rPr>
          <w:rFonts w:ascii="Arial" w:hAnsi="Arial" w:cs="Arial"/>
        </w:rPr>
        <w:t>Les gants de chirurgien stériles devront répondre aux normes AFNOR : NF S 90 000, EN 455, ou ISO.</w:t>
      </w:r>
    </w:p>
    <w:p w:rsidR="00CB36DD" w:rsidRPr="004A16E8" w:rsidRDefault="00CB36DD" w:rsidP="00CB36DD">
      <w:pPr>
        <w:rPr>
          <w:rFonts w:ascii="Arial" w:hAnsi="Arial" w:cs="Arial"/>
        </w:rPr>
      </w:pPr>
      <w:r w:rsidRPr="004A16E8">
        <w:rPr>
          <w:rFonts w:ascii="Arial" w:hAnsi="Arial" w:cs="Arial"/>
        </w:rPr>
        <w:t xml:space="preserve">Les gants chirurgicaux stériles à usage unique doivent répondre aux exigences suivantes : en latex naturel, poudrés intérieurement par de l’amidon de maïs agréé par la FDA, de forme anatomique avec indication main droite et main gauche dans le double emballage, avec une manchette avec poignet renforcé par un bord roulé, hypoallergénique. </w:t>
      </w:r>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 xml:space="preserve">Les gants chirurgicaux de taille 7 doivent avoir les dimensions suivantes : longueur de 270 mm au minimum, largeur à la paume de 89 mm +/- 5 </w:t>
      </w:r>
      <w:proofErr w:type="spellStart"/>
      <w:r w:rsidRPr="004A16E8">
        <w:rPr>
          <w:rFonts w:ascii="Arial" w:hAnsi="Arial" w:cs="Arial"/>
        </w:rPr>
        <w:t>mm.</w:t>
      </w:r>
      <w:proofErr w:type="spellEnd"/>
    </w:p>
    <w:p w:rsidR="00CB36DD" w:rsidRPr="004A16E8" w:rsidRDefault="00CB36DD" w:rsidP="00CB36DD">
      <w:pPr>
        <w:rPr>
          <w:rFonts w:ascii="Arial" w:hAnsi="Arial" w:cs="Arial"/>
        </w:rPr>
      </w:pPr>
      <w:r w:rsidRPr="004A16E8">
        <w:rPr>
          <w:rFonts w:ascii="Arial" w:hAnsi="Arial" w:cs="Arial"/>
        </w:rPr>
        <w:t></w:t>
      </w:r>
      <w:r w:rsidRPr="004A16E8">
        <w:rPr>
          <w:rFonts w:ascii="Arial" w:hAnsi="Arial" w:cs="Arial"/>
        </w:rPr>
        <w:tab/>
        <w:t>Les gants chirurgicaux de taille 7 ½ doivent avoir les dimensions suivantes : longueur de 270 mm minimum, largeur à la paume de 95 mm +/- 5mm.</w:t>
      </w:r>
    </w:p>
    <w:p w:rsidR="00CB36DD" w:rsidRPr="004A16E8" w:rsidRDefault="00CB36DD" w:rsidP="00CB36DD">
      <w:pPr>
        <w:rPr>
          <w:rFonts w:ascii="Arial" w:hAnsi="Arial" w:cs="Arial"/>
        </w:rPr>
      </w:pPr>
      <w:r w:rsidRPr="004A16E8">
        <w:rPr>
          <w:rFonts w:ascii="Arial" w:hAnsi="Arial" w:cs="Arial"/>
        </w:rPr>
        <w:lastRenderedPageBreak/>
        <w:t>La souplesse, l’allongement à la rupture, la résistance à la traction, la finesse, la facilité d’enfilage seront particulièrement observées. Le double emballage doit être facilement pelable (à ouverture sagittale), pour éviter au maximum les fautes d’asepsie. Les emballages à découper aux ciseaux ne sont pas acceptés.</w:t>
      </w:r>
    </w:p>
    <w:p w:rsidR="00CB36DD" w:rsidRPr="004A16E8" w:rsidRDefault="00CB36DD" w:rsidP="00CB36DD">
      <w:pPr>
        <w:rPr>
          <w:rFonts w:ascii="Arial" w:hAnsi="Arial" w:cs="Arial"/>
        </w:rPr>
      </w:pPr>
      <w:r w:rsidRPr="004A16E8">
        <w:rPr>
          <w:rFonts w:ascii="Arial" w:hAnsi="Arial" w:cs="Arial"/>
        </w:rPr>
        <w:t>Les gants chirurgicaux stériles à usage unique seront conditionnés par paire, en sachets double emballage à ouverture sagittale, et regroupés dans une boîte de 50 paires.</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79" w:name="_Toc117431446"/>
      <w:bookmarkStart w:id="80" w:name="_Toc118207995"/>
      <w:r w:rsidRPr="004A16E8">
        <w:rPr>
          <w:rFonts w:ascii="Arial" w:hAnsi="Arial" w:cs="Arial"/>
          <w:sz w:val="24"/>
          <w:szCs w:val="24"/>
        </w:rPr>
        <w:t>Conformité technique des gants d’examen non stériles</w:t>
      </w:r>
      <w:bookmarkEnd w:id="79"/>
      <w:bookmarkEnd w:id="80"/>
    </w:p>
    <w:p w:rsidR="00CB36DD" w:rsidRPr="005B6EE2" w:rsidRDefault="00CB36DD" w:rsidP="00CB36DD">
      <w:pPr>
        <w:spacing w:before="120" w:after="120"/>
        <w:jc w:val="both"/>
        <w:rPr>
          <w:rFonts w:ascii="Arial" w:hAnsi="Arial" w:cs="Arial"/>
        </w:rPr>
      </w:pPr>
      <w:r w:rsidRPr="005B6EE2">
        <w:rPr>
          <w:rFonts w:ascii="Arial" w:hAnsi="Arial" w:cs="Arial"/>
        </w:rPr>
        <w:t>Les gants d’examen non stériles doivent répondre aux normes AFNOR NFS 90 001 ou ISO</w:t>
      </w:r>
    </w:p>
    <w:p w:rsidR="00CB36DD" w:rsidRPr="005B6EE2" w:rsidRDefault="00CB36DD" w:rsidP="00CB36DD">
      <w:pPr>
        <w:numPr>
          <w:ilvl w:val="0"/>
          <w:numId w:val="26"/>
        </w:numPr>
        <w:tabs>
          <w:tab w:val="left" w:pos="851"/>
        </w:tabs>
        <w:suppressAutoHyphens/>
        <w:spacing w:before="120" w:after="120" w:line="240" w:lineRule="auto"/>
        <w:jc w:val="both"/>
        <w:rPr>
          <w:rFonts w:ascii="Arial" w:hAnsi="Arial" w:cs="Arial"/>
          <w:b/>
          <w:spacing w:val="2"/>
        </w:rPr>
      </w:pPr>
      <w:r w:rsidRPr="005B6EE2">
        <w:rPr>
          <w:rFonts w:ascii="Arial" w:hAnsi="Arial" w:cs="Arial"/>
          <w:b/>
          <w:spacing w:val="2"/>
        </w:rPr>
        <w:t>Conformité des gants d’examen latex non stériles taille moyenne (7/8)</w:t>
      </w:r>
    </w:p>
    <w:p w:rsidR="00CB36DD" w:rsidRPr="005B6EE2" w:rsidRDefault="00CB36DD" w:rsidP="00CB36DD">
      <w:pPr>
        <w:spacing w:before="120" w:after="120"/>
        <w:jc w:val="both"/>
        <w:rPr>
          <w:rFonts w:ascii="Arial" w:hAnsi="Arial" w:cs="Arial"/>
        </w:rPr>
      </w:pPr>
      <w:r w:rsidRPr="005B6EE2">
        <w:rPr>
          <w:rFonts w:ascii="Arial" w:hAnsi="Arial" w:cs="Arial"/>
        </w:rPr>
        <w:t xml:space="preserve">Les gants en latex non stériles doivent avoir les caractéristiques suivantes : en latex naturel, avec un poudrage intérieur en amidon de maïs bio résorbable. Ils doivent être de </w:t>
      </w:r>
      <w:proofErr w:type="gramStart"/>
      <w:r w:rsidRPr="005B6EE2">
        <w:rPr>
          <w:rFonts w:ascii="Arial" w:hAnsi="Arial" w:cs="Arial"/>
        </w:rPr>
        <w:t>forme ambidextres</w:t>
      </w:r>
      <w:proofErr w:type="gramEnd"/>
      <w:r w:rsidRPr="005B6EE2">
        <w:rPr>
          <w:rFonts w:ascii="Arial" w:hAnsi="Arial" w:cs="Arial"/>
        </w:rPr>
        <w:t xml:space="preserve">, et comporter un renfort au poignet par un bord roulé, et hypoallergénique. </w:t>
      </w:r>
    </w:p>
    <w:p w:rsidR="00CB36DD" w:rsidRPr="005B6EE2" w:rsidRDefault="00CB36DD" w:rsidP="00CB36DD">
      <w:pPr>
        <w:spacing w:before="120" w:after="120"/>
        <w:jc w:val="both"/>
        <w:rPr>
          <w:rFonts w:ascii="Arial" w:hAnsi="Arial" w:cs="Arial"/>
        </w:rPr>
      </w:pPr>
      <w:r w:rsidRPr="005B6EE2">
        <w:rPr>
          <w:rFonts w:ascii="Arial" w:hAnsi="Arial" w:cs="Arial"/>
        </w:rPr>
        <w:t>Les dimensions exigées sont les suivantes : taille moyenne (7/8</w:t>
      </w:r>
      <w:proofErr w:type="gramStart"/>
      <w:r w:rsidRPr="005B6EE2">
        <w:rPr>
          <w:rFonts w:ascii="Arial" w:hAnsi="Arial" w:cs="Arial"/>
        </w:rPr>
        <w:t>) ,</w:t>
      </w:r>
      <w:proofErr w:type="gramEnd"/>
      <w:r w:rsidRPr="005B6EE2">
        <w:rPr>
          <w:rFonts w:ascii="Arial" w:hAnsi="Arial" w:cs="Arial"/>
        </w:rPr>
        <w:t xml:space="preserve"> d’une longueur minimale de 230 mm, d’une largeur à la paume de 95 mm +/- 10 mm, d’une épaisseur de 0,08 mm minimum.</w:t>
      </w:r>
    </w:p>
    <w:p w:rsidR="00CB36DD" w:rsidRPr="005B6EE2" w:rsidRDefault="00CB36DD" w:rsidP="00CB36DD">
      <w:pPr>
        <w:numPr>
          <w:ilvl w:val="0"/>
          <w:numId w:val="26"/>
        </w:numPr>
        <w:tabs>
          <w:tab w:val="left" w:pos="851"/>
        </w:tabs>
        <w:suppressAutoHyphens/>
        <w:spacing w:before="120" w:after="120" w:line="240" w:lineRule="auto"/>
        <w:jc w:val="both"/>
        <w:rPr>
          <w:rFonts w:ascii="Arial" w:hAnsi="Arial" w:cs="Arial"/>
          <w:b/>
          <w:spacing w:val="2"/>
        </w:rPr>
      </w:pPr>
      <w:r w:rsidRPr="005B6EE2">
        <w:rPr>
          <w:rFonts w:ascii="Arial" w:hAnsi="Arial" w:cs="Arial"/>
          <w:b/>
          <w:spacing w:val="2"/>
        </w:rPr>
        <w:t>Conformité des gants d’examen latex non stériles taille petite (6/7)</w:t>
      </w:r>
    </w:p>
    <w:p w:rsidR="00CB36DD" w:rsidRPr="005B6EE2" w:rsidRDefault="00CB36DD" w:rsidP="00CB36DD">
      <w:pPr>
        <w:spacing w:before="120" w:after="120"/>
        <w:jc w:val="both"/>
        <w:rPr>
          <w:rFonts w:ascii="Arial" w:hAnsi="Arial" w:cs="Arial"/>
        </w:rPr>
      </w:pPr>
      <w:r w:rsidRPr="005B6EE2">
        <w:rPr>
          <w:rFonts w:ascii="Arial" w:hAnsi="Arial" w:cs="Arial"/>
        </w:rPr>
        <w:t xml:space="preserve">Les gants d’examen non stériles de taille 6/7 en latex doivent avoir les caractéristiques suivantes : en latex naturel, avec un poudrage intérieur en amidon de maïs bio résorbable. Ils doivent être de forme ambidextre, et comporter un renfort au poignet par un bord roulé, et hypoallergénique. </w:t>
      </w:r>
    </w:p>
    <w:p w:rsidR="00CB36DD" w:rsidRPr="005B6EE2" w:rsidRDefault="00CB36DD" w:rsidP="00CB36DD">
      <w:pPr>
        <w:spacing w:before="120" w:after="120"/>
        <w:jc w:val="both"/>
        <w:rPr>
          <w:rFonts w:ascii="Arial" w:hAnsi="Arial" w:cs="Arial"/>
        </w:rPr>
      </w:pPr>
      <w:r w:rsidRPr="005B6EE2">
        <w:rPr>
          <w:rFonts w:ascii="Arial" w:hAnsi="Arial" w:cs="Arial"/>
        </w:rPr>
        <w:t>Les dimensions exigées sont les suivantes : taille petite (6/7), d’une longueur minimale de 230 mm, d’une largeur à la paume de 80 mm +/- 10 mm, d’une épaisseur de 0,08 mm minimum.</w:t>
      </w:r>
    </w:p>
    <w:p w:rsidR="00CB36DD" w:rsidRPr="005B6EE2" w:rsidRDefault="00CB36DD" w:rsidP="00CB36DD">
      <w:pPr>
        <w:spacing w:before="120" w:after="120"/>
        <w:jc w:val="both"/>
        <w:rPr>
          <w:rFonts w:ascii="Arial" w:hAnsi="Arial" w:cs="Arial"/>
        </w:rPr>
      </w:pPr>
      <w:r w:rsidRPr="005B6EE2">
        <w:rPr>
          <w:rFonts w:ascii="Arial" w:hAnsi="Arial" w:cs="Arial"/>
        </w:rPr>
        <w:t>Les qualités de souplesse, de résistance, et de finesse seront particulièrement observées.</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81" w:name="_Toc117430676"/>
      <w:bookmarkStart w:id="82" w:name="_Toc117431188"/>
      <w:bookmarkStart w:id="83" w:name="_Toc117431447"/>
      <w:bookmarkStart w:id="84" w:name="_Toc117431814"/>
      <w:bookmarkStart w:id="85" w:name="_Toc117430677"/>
      <w:bookmarkStart w:id="86" w:name="_Toc117431189"/>
      <w:bookmarkStart w:id="87" w:name="_Toc117431448"/>
      <w:bookmarkStart w:id="88" w:name="_Toc117431815"/>
      <w:bookmarkStart w:id="89" w:name="_Toc117430678"/>
      <w:bookmarkStart w:id="90" w:name="_Toc117431190"/>
      <w:bookmarkStart w:id="91" w:name="_Toc117431449"/>
      <w:bookmarkStart w:id="92" w:name="_Toc117431816"/>
      <w:bookmarkStart w:id="93" w:name="_Toc117431450"/>
      <w:bookmarkStart w:id="94" w:name="_Toc118207996"/>
      <w:bookmarkEnd w:id="81"/>
      <w:bookmarkEnd w:id="82"/>
      <w:bookmarkEnd w:id="83"/>
      <w:bookmarkEnd w:id="84"/>
      <w:bookmarkEnd w:id="85"/>
      <w:bookmarkEnd w:id="86"/>
      <w:bookmarkEnd w:id="87"/>
      <w:bookmarkEnd w:id="88"/>
      <w:bookmarkEnd w:id="89"/>
      <w:bookmarkEnd w:id="90"/>
      <w:bookmarkEnd w:id="91"/>
      <w:bookmarkEnd w:id="92"/>
      <w:r w:rsidRPr="004A16E8">
        <w:rPr>
          <w:rFonts w:ascii="Arial" w:hAnsi="Arial" w:cs="Arial"/>
          <w:sz w:val="24"/>
          <w:szCs w:val="24"/>
        </w:rPr>
        <w:t>Conformité technique des lames de bistouri</w:t>
      </w:r>
      <w:bookmarkEnd w:id="78"/>
      <w:bookmarkEnd w:id="93"/>
      <w:bookmarkEnd w:id="94"/>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lames de bistouri doivent répondre aux normes BS 2982 ou ISO 7740.</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Elles doivent être en acier inoxydable, stérilisées au rayon gamma, être conditionnées en emballage individuel pelable, d’ouverture aisée (ouverture sagittale) regroupé en boîte de 100 lames. </w:t>
      </w:r>
      <w:r w:rsidRPr="004A16E8">
        <w:rPr>
          <w:rFonts w:ascii="Arial" w:hAnsi="Arial" w:cs="Arial"/>
          <w:u w:val="single"/>
        </w:rPr>
        <w:t>Les lames en carbone ne sont pas acceptées</w:t>
      </w:r>
      <w:r w:rsidRPr="004A16E8">
        <w:rPr>
          <w:rFonts w:ascii="Arial" w:hAnsi="Arial" w:cs="Arial"/>
        </w:rPr>
        <w:t>.</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95" w:name="_Toc117431451"/>
      <w:bookmarkStart w:id="96" w:name="_Toc118207997"/>
      <w:bookmarkStart w:id="97" w:name="_Toc335915608"/>
      <w:r w:rsidRPr="004A16E8">
        <w:rPr>
          <w:rFonts w:ascii="Arial" w:hAnsi="Arial" w:cs="Arial"/>
          <w:sz w:val="24"/>
          <w:szCs w:val="24"/>
        </w:rPr>
        <w:t>Conformité technique des fils et ligatures</w:t>
      </w:r>
      <w:bookmarkEnd w:id="95"/>
      <w:bookmarkEnd w:id="96"/>
      <w:r w:rsidRPr="004A16E8">
        <w:rPr>
          <w:rFonts w:ascii="Arial" w:hAnsi="Arial" w:cs="Arial"/>
          <w:sz w:val="24"/>
          <w:szCs w:val="24"/>
        </w:rPr>
        <w:t xml:space="preserve"> </w:t>
      </w:r>
      <w:bookmarkEnd w:id="97"/>
    </w:p>
    <w:p w:rsidR="00CB36DD" w:rsidRPr="004A16E8" w:rsidRDefault="00CB36DD" w:rsidP="00CB36DD">
      <w:pPr>
        <w:pStyle w:val="WW-Corpsdetexte3"/>
        <w:spacing w:before="120" w:after="120" w:line="276" w:lineRule="auto"/>
        <w:rPr>
          <w:rFonts w:ascii="Arial" w:hAnsi="Arial" w:cs="Arial"/>
        </w:rPr>
      </w:pPr>
      <w:r w:rsidRPr="004A16E8">
        <w:rPr>
          <w:rFonts w:ascii="Arial" w:hAnsi="Arial" w:cs="Arial"/>
        </w:rPr>
        <w:t>Les fils et ligatures devront répondre aux normes ISO 9000 ou 9001, ou EN 46001.</w:t>
      </w:r>
      <w:r w:rsidRPr="004A16E8">
        <w:rPr>
          <w:rFonts w:ascii="Arial" w:hAnsi="Arial" w:cs="Arial"/>
        </w:rPr>
        <w:tab/>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fils non sertis doivent être conditionnés en bobine permettant un déroulement aisé des fils.</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98" w:name="_Toc117431452"/>
      <w:bookmarkStart w:id="99" w:name="_Toc118207998"/>
      <w:bookmarkStart w:id="100" w:name="_Toc335915609"/>
      <w:r w:rsidRPr="004A16E8">
        <w:rPr>
          <w:rFonts w:ascii="Arial" w:hAnsi="Arial" w:cs="Arial"/>
          <w:sz w:val="24"/>
          <w:szCs w:val="24"/>
        </w:rPr>
        <w:t>Conformité technique de la vitamine C 500mg comprimés</w:t>
      </w:r>
      <w:bookmarkEnd w:id="98"/>
      <w:bookmarkEnd w:id="99"/>
      <w:r w:rsidRPr="004A16E8">
        <w:rPr>
          <w:rFonts w:ascii="Arial" w:hAnsi="Arial" w:cs="Arial"/>
          <w:sz w:val="24"/>
          <w:szCs w:val="24"/>
        </w:rPr>
        <w:t xml:space="preserve"> </w:t>
      </w:r>
      <w:bookmarkEnd w:id="100"/>
    </w:p>
    <w:p w:rsidR="00CB36DD" w:rsidRPr="004A16E8" w:rsidRDefault="00CB36DD" w:rsidP="00CB36DD">
      <w:pPr>
        <w:spacing w:before="120" w:after="120" w:line="276" w:lineRule="auto"/>
        <w:jc w:val="both"/>
        <w:rPr>
          <w:rFonts w:ascii="Arial" w:hAnsi="Arial" w:cs="Arial"/>
        </w:rPr>
      </w:pPr>
      <w:r w:rsidRPr="004A16E8">
        <w:rPr>
          <w:rFonts w:ascii="Arial" w:hAnsi="Arial" w:cs="Arial"/>
        </w:rPr>
        <w:t>En complément du paragraphe réservé aux Pharmacopée de référence des produits pharmaceutiques et à leur conditionnement, les informations décrites ci-dessous sont applicables spécifiquement au produit suivant :</w:t>
      </w:r>
      <w:r w:rsidRPr="004A16E8">
        <w:rPr>
          <w:rFonts w:ascii="Arial" w:hAnsi="Arial" w:cs="Arial"/>
        </w:rPr>
        <w:tab/>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La vitamine C ou acide ascorbique dosée à 500mg en comprimés doit être de type « à croquer » ou « à sucer ». Cette mention doit être bien visible sur les blisters et sur les boîtes.</w:t>
      </w:r>
    </w:p>
    <w:p w:rsidR="00CB36DD" w:rsidRPr="004A16E8" w:rsidRDefault="00CB36DD" w:rsidP="00CB36DD">
      <w:pPr>
        <w:pStyle w:val="Titre2"/>
        <w:numPr>
          <w:ilvl w:val="0"/>
          <w:numId w:val="15"/>
        </w:numPr>
        <w:spacing w:line="276" w:lineRule="auto"/>
        <w:ind w:hanging="720"/>
        <w:rPr>
          <w:rFonts w:ascii="Arial" w:hAnsi="Arial" w:cs="Arial"/>
          <w:sz w:val="24"/>
          <w:szCs w:val="24"/>
        </w:rPr>
      </w:pPr>
      <w:bookmarkStart w:id="101" w:name="_Toc117431453"/>
      <w:bookmarkStart w:id="102" w:name="_Toc118207999"/>
      <w:r w:rsidRPr="004A16E8">
        <w:rPr>
          <w:rFonts w:ascii="Arial" w:hAnsi="Arial" w:cs="Arial"/>
          <w:sz w:val="24"/>
          <w:szCs w:val="24"/>
        </w:rPr>
        <w:lastRenderedPageBreak/>
        <w:t>Conformité technique des insulines</w:t>
      </w:r>
      <w:bookmarkEnd w:id="101"/>
      <w:bookmarkEnd w:id="102"/>
      <w:r w:rsidRPr="004A16E8">
        <w:rPr>
          <w:rFonts w:ascii="Arial" w:hAnsi="Arial" w:cs="Arial"/>
          <w:sz w:val="24"/>
          <w:szCs w:val="24"/>
        </w:rPr>
        <w:t xml:space="preserve"> </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insulines devront être en suspension injectable, d’origine humaine biogénétique, pure ou mélangée selon leurs indications, et présentées :</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 en flacon de 10ml contenant 100UI par ml de suspension.</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 ou en cartouches de 3 ml contenant 100UI par ml de suspension, conditionnées en boîtes de 5 ou 10 cartouches.  </w:t>
      </w:r>
    </w:p>
    <w:p w:rsidR="00CB36DD" w:rsidRPr="005B6EE2" w:rsidRDefault="00CB36DD" w:rsidP="00CB36DD">
      <w:pPr>
        <w:pStyle w:val="Sous-titre"/>
        <w:numPr>
          <w:ilvl w:val="1"/>
          <w:numId w:val="28"/>
        </w:numPr>
        <w:jc w:val="left"/>
        <w:rPr>
          <w:rFonts w:cs="Arial"/>
        </w:rPr>
      </w:pPr>
      <w:bookmarkStart w:id="103" w:name="_Toc118208000"/>
      <w:r w:rsidRPr="005B6EE2">
        <w:rPr>
          <w:rFonts w:cs="Arial"/>
        </w:rPr>
        <w:t>Conformité technique des kits stériles de protection</w:t>
      </w:r>
      <w:bookmarkEnd w:id="103"/>
    </w:p>
    <w:p w:rsidR="00CB36DD" w:rsidRPr="004A16E8" w:rsidRDefault="00CB36DD" w:rsidP="00CB36DD">
      <w:pPr>
        <w:spacing w:before="120" w:after="120" w:line="276" w:lineRule="auto"/>
        <w:jc w:val="both"/>
        <w:rPr>
          <w:rFonts w:ascii="Arial" w:hAnsi="Arial" w:cs="Arial"/>
        </w:rPr>
      </w:pPr>
      <w:r w:rsidRPr="004A16E8">
        <w:rPr>
          <w:rFonts w:ascii="Arial" w:hAnsi="Arial" w:cs="Arial"/>
        </w:rPr>
        <w:t>Les kits de protection doivent être en non-tissé : calots, masques, charlotte (15 g/m²), surblouses (20 g/m²), surchaussures (20 g/m²)</w:t>
      </w:r>
    </w:p>
    <w:p w:rsidR="00CB36DD" w:rsidRPr="004A16E8" w:rsidRDefault="00CB36DD" w:rsidP="00CB36DD">
      <w:pPr>
        <w:pStyle w:val="Titre2"/>
        <w:numPr>
          <w:ilvl w:val="0"/>
          <w:numId w:val="0"/>
        </w:numPr>
        <w:spacing w:line="276" w:lineRule="auto"/>
        <w:ind w:left="360" w:hanging="360"/>
        <w:rPr>
          <w:rFonts w:ascii="Arial" w:hAnsi="Arial" w:cs="Arial"/>
          <w:sz w:val="24"/>
          <w:szCs w:val="24"/>
        </w:rPr>
      </w:pPr>
      <w:bookmarkStart w:id="104" w:name="_Toc118208001"/>
      <w:r w:rsidRPr="004A16E8">
        <w:rPr>
          <w:rFonts w:ascii="Arial" w:hAnsi="Arial" w:cs="Arial"/>
          <w:b w:val="0"/>
          <w:bCs w:val="0"/>
          <w:sz w:val="24"/>
          <w:szCs w:val="24"/>
        </w:rPr>
        <w:t xml:space="preserve">3.21 </w:t>
      </w:r>
      <w:bookmarkStart w:id="105" w:name="_Toc117430683"/>
      <w:bookmarkStart w:id="106" w:name="_Toc117431195"/>
      <w:bookmarkStart w:id="107" w:name="_Toc117431454"/>
      <w:bookmarkStart w:id="108" w:name="_Toc117431821"/>
      <w:bookmarkStart w:id="109" w:name="_Toc117430684"/>
      <w:bookmarkStart w:id="110" w:name="_Toc117431196"/>
      <w:bookmarkStart w:id="111" w:name="_Toc117431455"/>
      <w:bookmarkStart w:id="112" w:name="_Toc117431822"/>
      <w:bookmarkStart w:id="113" w:name="_Toc117431456"/>
      <w:bookmarkEnd w:id="105"/>
      <w:bookmarkEnd w:id="106"/>
      <w:bookmarkEnd w:id="107"/>
      <w:bookmarkEnd w:id="108"/>
      <w:bookmarkEnd w:id="109"/>
      <w:bookmarkEnd w:id="110"/>
      <w:bookmarkEnd w:id="111"/>
      <w:bookmarkEnd w:id="112"/>
      <w:r w:rsidRPr="004A16E8">
        <w:rPr>
          <w:rFonts w:ascii="Arial" w:hAnsi="Arial" w:cs="Arial"/>
          <w:sz w:val="24"/>
          <w:szCs w:val="24"/>
        </w:rPr>
        <w:t>Interdiction des mentions à caractère publicitaire sur les boites de conditionnement</w:t>
      </w:r>
      <w:bookmarkEnd w:id="104"/>
      <w:bookmarkEnd w:id="113"/>
      <w:r w:rsidRPr="004A16E8">
        <w:rPr>
          <w:rFonts w:ascii="Arial" w:hAnsi="Arial" w:cs="Arial"/>
          <w:sz w:val="24"/>
          <w:szCs w:val="24"/>
        </w:rPr>
        <w:t> </w:t>
      </w:r>
    </w:p>
    <w:p w:rsidR="00CB36DD" w:rsidRPr="005B6EE2" w:rsidRDefault="00CB36DD" w:rsidP="00CB36DD">
      <w:pPr>
        <w:autoSpaceDE w:val="0"/>
        <w:autoSpaceDN w:val="0"/>
        <w:adjustRightInd w:val="0"/>
        <w:contextualSpacing/>
        <w:jc w:val="both"/>
        <w:rPr>
          <w:b/>
        </w:rPr>
      </w:pPr>
      <w:r w:rsidRPr="005B6EE2">
        <w:rPr>
          <w:rFonts w:ascii="Arial" w:hAnsi="Arial" w:cs="Arial"/>
        </w:rPr>
        <w:t>Les conditionnements à caractère publicitaire ne sont pas admis.</w:t>
      </w:r>
      <w:r w:rsidRPr="005B6EE2">
        <w:rPr>
          <w:rFonts w:ascii="Arial" w:hAnsi="Arial" w:cs="Arial"/>
          <w:b/>
        </w:rPr>
        <w:t xml:space="preserve"> (Mentions ou images tendant à l’automédication ou à une surconsommation)</w:t>
      </w:r>
    </w:p>
    <w:p w:rsidR="00CB36DD" w:rsidRPr="004A16E8" w:rsidRDefault="00CB36DD" w:rsidP="00CB36DD">
      <w:pPr>
        <w:pStyle w:val="Titre2"/>
        <w:numPr>
          <w:ilvl w:val="0"/>
          <w:numId w:val="0"/>
        </w:numPr>
        <w:spacing w:line="276" w:lineRule="auto"/>
        <w:rPr>
          <w:rFonts w:ascii="Arial" w:hAnsi="Arial" w:cs="Arial"/>
          <w:sz w:val="24"/>
          <w:szCs w:val="24"/>
        </w:rPr>
      </w:pPr>
      <w:bookmarkStart w:id="114" w:name="_Toc118208002"/>
      <w:r w:rsidRPr="004A16E8">
        <w:rPr>
          <w:rFonts w:ascii="Arial" w:hAnsi="Arial" w:cs="Arial"/>
        </w:rPr>
        <w:t xml:space="preserve">3.22 </w:t>
      </w:r>
      <w:bookmarkStart w:id="115" w:name="_Toc117430686"/>
      <w:bookmarkStart w:id="116" w:name="_Toc117431198"/>
      <w:bookmarkStart w:id="117" w:name="_Toc117431457"/>
      <w:bookmarkStart w:id="118" w:name="_Toc117431824"/>
      <w:bookmarkStart w:id="119" w:name="_Toc117431458"/>
      <w:bookmarkEnd w:id="115"/>
      <w:bookmarkEnd w:id="116"/>
      <w:bookmarkEnd w:id="117"/>
      <w:bookmarkEnd w:id="118"/>
      <w:r w:rsidRPr="004A16E8">
        <w:rPr>
          <w:rFonts w:ascii="Arial" w:hAnsi="Arial" w:cs="Arial"/>
          <w:sz w:val="24"/>
          <w:szCs w:val="24"/>
        </w:rPr>
        <w:t>Recommandations internationales sur l’utilisation progressive des solutions de gluconate de calcium conditionnées dans des récipients en matière plastique</w:t>
      </w:r>
      <w:bookmarkEnd w:id="114"/>
      <w:bookmarkEnd w:id="119"/>
      <w:r w:rsidRPr="004A16E8">
        <w:rPr>
          <w:rFonts w:ascii="Arial" w:hAnsi="Arial" w:cs="Arial"/>
          <w:sz w:val="24"/>
          <w:szCs w:val="24"/>
        </w:rPr>
        <w:t> </w:t>
      </w:r>
    </w:p>
    <w:p w:rsidR="00CB36DD" w:rsidRPr="004A16E8" w:rsidRDefault="00CB36DD" w:rsidP="00CB36DD">
      <w:pPr>
        <w:spacing w:before="120" w:after="120" w:line="276" w:lineRule="auto"/>
        <w:jc w:val="both"/>
        <w:rPr>
          <w:rFonts w:ascii="Arial" w:hAnsi="Arial" w:cs="Arial"/>
        </w:rPr>
      </w:pPr>
      <w:r w:rsidRPr="004A16E8">
        <w:rPr>
          <w:rFonts w:ascii="Arial" w:hAnsi="Arial" w:cs="Arial"/>
        </w:rPr>
        <w:t xml:space="preserve">Afin de limiter l’exposition des patients à l’aluminium, il est recommandé l’utilisation des solutions de gluconate de calcium conditionnées dans des récipients en matière plastique. </w:t>
      </w:r>
    </w:p>
    <w:p w:rsidR="00CB36DD" w:rsidRPr="005B6EE2" w:rsidRDefault="00CB36DD" w:rsidP="00CB36DD">
      <w:pPr>
        <w:spacing w:before="120" w:after="120" w:line="276" w:lineRule="auto"/>
        <w:jc w:val="both"/>
        <w:rPr>
          <w:rFonts w:ascii="Arial" w:hAnsi="Arial" w:cs="Arial"/>
          <w:sz w:val="24"/>
        </w:rPr>
      </w:pPr>
      <w:bookmarkStart w:id="120" w:name="_Toc117431459"/>
      <w:r w:rsidRPr="005B6EE2">
        <w:rPr>
          <w:rFonts w:ascii="Arial" w:hAnsi="Arial" w:cs="Arial"/>
          <w:b/>
          <w:sz w:val="24"/>
        </w:rPr>
        <w:t>3.23 Conformité des réactifs</w:t>
      </w:r>
      <w:bookmarkEnd w:id="120"/>
    </w:p>
    <w:p w:rsidR="00CB36DD" w:rsidRPr="004A16E8" w:rsidRDefault="00CB36DD" w:rsidP="00CB36DD">
      <w:pPr>
        <w:spacing w:after="0" w:line="276" w:lineRule="auto"/>
        <w:jc w:val="both"/>
        <w:rPr>
          <w:rFonts w:ascii="Arial" w:hAnsi="Arial" w:cs="Arial"/>
        </w:rPr>
      </w:pPr>
      <w:r w:rsidRPr="004A16E8">
        <w:rPr>
          <w:rFonts w:ascii="Arial" w:hAnsi="Arial" w:cs="Arial"/>
        </w:rPr>
        <w:t xml:space="preserve">Les fabricants doivent suivre les normes : </w:t>
      </w:r>
    </w:p>
    <w:p w:rsidR="00CB36DD" w:rsidRPr="004A16E8" w:rsidRDefault="00CB36DD" w:rsidP="00CB36DD">
      <w:pPr>
        <w:spacing w:after="0" w:line="276" w:lineRule="auto"/>
        <w:jc w:val="both"/>
        <w:rPr>
          <w:rFonts w:ascii="Arial" w:hAnsi="Arial" w:cs="Arial"/>
        </w:rPr>
      </w:pPr>
      <w:r w:rsidRPr="004A16E8">
        <w:rPr>
          <w:rFonts w:ascii="Arial" w:hAnsi="Arial" w:cs="Arial"/>
        </w:rPr>
        <w:t>ISO 13485 pour les réactifs et consommables de laboratoires</w:t>
      </w:r>
    </w:p>
    <w:p w:rsidR="00CB36DD" w:rsidRPr="004A16E8" w:rsidRDefault="00CB36DD" w:rsidP="00CB36DD">
      <w:pPr>
        <w:spacing w:after="0" w:line="276" w:lineRule="auto"/>
        <w:jc w:val="both"/>
        <w:rPr>
          <w:rFonts w:ascii="Arial" w:hAnsi="Arial" w:cs="Arial"/>
        </w:rPr>
      </w:pPr>
      <w:r w:rsidRPr="004A16E8">
        <w:rPr>
          <w:rFonts w:ascii="Arial" w:hAnsi="Arial" w:cs="Arial"/>
        </w:rPr>
        <w:t xml:space="preserve">ISO 9000 séries pour les produits qui n'entrent pas dans la catégorie des normes ISO 13485. </w:t>
      </w:r>
    </w:p>
    <w:p w:rsidR="00CB36DD" w:rsidRPr="004A16E8" w:rsidRDefault="00CB36DD" w:rsidP="00CB36DD">
      <w:pPr>
        <w:pStyle w:val="Titre2"/>
        <w:numPr>
          <w:ilvl w:val="1"/>
          <w:numId w:val="29"/>
        </w:numPr>
        <w:spacing w:line="276" w:lineRule="auto"/>
        <w:rPr>
          <w:rFonts w:ascii="Arial" w:hAnsi="Arial" w:cs="Arial"/>
          <w:sz w:val="24"/>
          <w:szCs w:val="24"/>
        </w:rPr>
      </w:pPr>
      <w:bookmarkStart w:id="121" w:name="_Toc117431460"/>
      <w:bookmarkStart w:id="122" w:name="_Toc118208003"/>
      <w:r w:rsidRPr="004A16E8">
        <w:rPr>
          <w:rFonts w:ascii="Arial" w:hAnsi="Arial" w:cs="Arial"/>
          <w:sz w:val="24"/>
          <w:szCs w:val="24"/>
        </w:rPr>
        <w:t>Conformité des lignes artérioveineuses avec aiguilles pour hémodialyses</w:t>
      </w:r>
      <w:bookmarkEnd w:id="121"/>
      <w:bookmarkEnd w:id="122"/>
    </w:p>
    <w:p w:rsidR="00CB36DD" w:rsidRPr="004A16E8" w:rsidRDefault="00CB36DD" w:rsidP="00CB36DD">
      <w:pPr>
        <w:pStyle w:val="yiv4444663644msonormal"/>
        <w:numPr>
          <w:ilvl w:val="0"/>
          <w:numId w:val="23"/>
        </w:numPr>
        <w:spacing w:before="0" w:beforeAutospacing="0" w:after="0" w:afterAutospacing="0" w:line="276" w:lineRule="auto"/>
        <w:jc w:val="both"/>
        <w:rPr>
          <w:rFonts w:ascii="Arial" w:hAnsi="Arial" w:cs="Arial"/>
          <w:sz w:val="22"/>
          <w:szCs w:val="22"/>
          <w:lang w:eastAsia="en-US"/>
        </w:rPr>
      </w:pPr>
      <w:r w:rsidRPr="004A16E8">
        <w:rPr>
          <w:rFonts w:ascii="Arial" w:hAnsi="Arial" w:cs="Arial"/>
          <w:sz w:val="22"/>
          <w:szCs w:val="22"/>
          <w:lang w:eastAsia="en-US"/>
        </w:rPr>
        <w:t xml:space="preserve">Ligne universelle pour </w:t>
      </w:r>
      <w:proofErr w:type="spellStart"/>
      <w:r w:rsidRPr="004A16E8">
        <w:rPr>
          <w:rFonts w:ascii="Arial" w:hAnsi="Arial" w:cs="Arial"/>
          <w:sz w:val="22"/>
          <w:szCs w:val="22"/>
          <w:lang w:eastAsia="en-US"/>
        </w:rPr>
        <w:t>Dialog</w:t>
      </w:r>
      <w:proofErr w:type="spellEnd"/>
      <w:r w:rsidRPr="004A16E8">
        <w:rPr>
          <w:rFonts w:ascii="Arial" w:hAnsi="Arial" w:cs="Arial"/>
          <w:sz w:val="22"/>
          <w:szCs w:val="22"/>
          <w:lang w:eastAsia="en-US"/>
        </w:rPr>
        <w:t xml:space="preserve">, </w:t>
      </w:r>
      <w:proofErr w:type="spellStart"/>
      <w:r w:rsidRPr="004A16E8">
        <w:rPr>
          <w:rFonts w:ascii="Arial" w:hAnsi="Arial" w:cs="Arial"/>
          <w:sz w:val="22"/>
          <w:szCs w:val="22"/>
          <w:lang w:eastAsia="en-US"/>
        </w:rPr>
        <w:t>Gambro</w:t>
      </w:r>
      <w:proofErr w:type="spellEnd"/>
      <w:r w:rsidRPr="004A16E8">
        <w:rPr>
          <w:rFonts w:ascii="Arial" w:hAnsi="Arial" w:cs="Arial"/>
          <w:sz w:val="22"/>
          <w:szCs w:val="22"/>
          <w:lang w:eastAsia="en-US"/>
        </w:rPr>
        <w:t xml:space="preserve">, </w:t>
      </w:r>
      <w:proofErr w:type="spellStart"/>
      <w:r w:rsidRPr="004A16E8">
        <w:rPr>
          <w:rFonts w:ascii="Arial" w:hAnsi="Arial" w:cs="Arial"/>
          <w:sz w:val="22"/>
          <w:szCs w:val="22"/>
          <w:lang w:eastAsia="en-US"/>
        </w:rPr>
        <w:t>Althin</w:t>
      </w:r>
      <w:proofErr w:type="spellEnd"/>
      <w:r w:rsidRPr="004A16E8">
        <w:rPr>
          <w:rFonts w:ascii="Arial" w:hAnsi="Arial" w:cs="Arial"/>
          <w:sz w:val="22"/>
          <w:szCs w:val="22"/>
          <w:lang w:eastAsia="en-US"/>
        </w:rPr>
        <w:t>, Fresenius.</w:t>
      </w:r>
    </w:p>
    <w:p w:rsidR="00CB36DD" w:rsidRPr="004A16E8" w:rsidRDefault="00CB36DD" w:rsidP="00CB36DD">
      <w:pPr>
        <w:pStyle w:val="yiv4444663644msonormal"/>
        <w:numPr>
          <w:ilvl w:val="0"/>
          <w:numId w:val="23"/>
        </w:numPr>
        <w:spacing w:before="0" w:beforeAutospacing="0" w:after="0" w:afterAutospacing="0" w:line="276" w:lineRule="auto"/>
        <w:jc w:val="both"/>
        <w:rPr>
          <w:rFonts w:ascii="Arial" w:hAnsi="Arial" w:cs="Arial"/>
          <w:sz w:val="22"/>
          <w:szCs w:val="22"/>
          <w:lang w:eastAsia="en-US"/>
        </w:rPr>
      </w:pPr>
      <w:r w:rsidRPr="004A16E8">
        <w:rPr>
          <w:rFonts w:ascii="Arial" w:hAnsi="Arial" w:cs="Arial"/>
          <w:sz w:val="22"/>
          <w:szCs w:val="22"/>
          <w:lang w:eastAsia="en-US"/>
        </w:rPr>
        <w:t xml:space="preserve">Méthode de </w:t>
      </w:r>
      <w:proofErr w:type="gramStart"/>
      <w:r w:rsidRPr="004A16E8">
        <w:rPr>
          <w:rFonts w:ascii="Arial" w:hAnsi="Arial" w:cs="Arial"/>
          <w:sz w:val="22"/>
          <w:szCs w:val="22"/>
          <w:lang w:eastAsia="en-US"/>
        </w:rPr>
        <w:t>stérilisation:</w:t>
      </w:r>
      <w:proofErr w:type="gramEnd"/>
      <w:r w:rsidRPr="004A16E8">
        <w:rPr>
          <w:rFonts w:ascii="Arial" w:hAnsi="Arial" w:cs="Arial"/>
          <w:sz w:val="22"/>
          <w:szCs w:val="22"/>
          <w:lang w:eastAsia="en-US"/>
        </w:rPr>
        <w:t xml:space="preserve"> Rayonnement (validé pour bêta et gamma).</w:t>
      </w:r>
    </w:p>
    <w:p w:rsidR="00CB36DD" w:rsidRPr="004A16E8" w:rsidRDefault="00CB36DD" w:rsidP="00CB36DD">
      <w:pPr>
        <w:pStyle w:val="yiv4444663644msonormal"/>
        <w:numPr>
          <w:ilvl w:val="0"/>
          <w:numId w:val="23"/>
        </w:numPr>
        <w:spacing w:before="0" w:beforeAutospacing="0" w:after="0" w:afterAutospacing="0" w:line="276" w:lineRule="auto"/>
        <w:jc w:val="both"/>
        <w:rPr>
          <w:rFonts w:ascii="Arial" w:hAnsi="Arial" w:cs="Arial"/>
          <w:sz w:val="22"/>
          <w:szCs w:val="22"/>
          <w:lang w:eastAsia="en-US"/>
        </w:rPr>
      </w:pPr>
      <w:proofErr w:type="gramStart"/>
      <w:r w:rsidRPr="004A16E8">
        <w:rPr>
          <w:rFonts w:ascii="Arial" w:hAnsi="Arial" w:cs="Arial"/>
          <w:sz w:val="22"/>
          <w:szCs w:val="22"/>
          <w:lang w:eastAsia="en-US"/>
        </w:rPr>
        <w:t>Pince patient</w:t>
      </w:r>
      <w:proofErr w:type="gramEnd"/>
      <w:r w:rsidRPr="004A16E8">
        <w:rPr>
          <w:rFonts w:ascii="Arial" w:hAnsi="Arial" w:cs="Arial"/>
          <w:sz w:val="22"/>
          <w:szCs w:val="22"/>
          <w:lang w:eastAsia="en-US"/>
        </w:rPr>
        <w:t xml:space="preserve"> à code couleur, sac de drainage 2l, Spike.</w:t>
      </w:r>
    </w:p>
    <w:p w:rsidR="00CB36DD" w:rsidRPr="004A16E8" w:rsidRDefault="00CB36DD" w:rsidP="00CB36DD">
      <w:pPr>
        <w:pStyle w:val="Titre2"/>
        <w:numPr>
          <w:ilvl w:val="1"/>
          <w:numId w:val="29"/>
        </w:numPr>
        <w:spacing w:line="276" w:lineRule="auto"/>
        <w:rPr>
          <w:rFonts w:ascii="Arial" w:hAnsi="Arial" w:cs="Arial"/>
          <w:sz w:val="24"/>
          <w:szCs w:val="24"/>
        </w:rPr>
      </w:pPr>
      <w:bookmarkStart w:id="123" w:name="_Toc117431461"/>
      <w:bookmarkStart w:id="124" w:name="_Toc118208004"/>
      <w:r w:rsidRPr="004A16E8">
        <w:rPr>
          <w:rFonts w:ascii="Arial" w:hAnsi="Arial" w:cs="Arial"/>
          <w:sz w:val="24"/>
          <w:szCs w:val="24"/>
        </w:rPr>
        <w:t>Conformité solutions concertées d’acides pour hémodialyse.</w:t>
      </w:r>
      <w:bookmarkEnd w:id="123"/>
      <w:bookmarkEnd w:id="124"/>
    </w:p>
    <w:p w:rsidR="00CB36DD" w:rsidRPr="004A16E8" w:rsidRDefault="00CB36DD" w:rsidP="00CB36DD">
      <w:pPr>
        <w:pStyle w:val="Paragraphedeliste"/>
        <w:spacing w:line="276" w:lineRule="auto"/>
        <w:ind w:left="0"/>
        <w:jc w:val="both"/>
        <w:rPr>
          <w:sz w:val="22"/>
          <w:szCs w:val="22"/>
        </w:rPr>
      </w:pPr>
      <w:r w:rsidRPr="004A16E8">
        <w:rPr>
          <w:sz w:val="22"/>
          <w:szCs w:val="22"/>
        </w:rPr>
        <w:t>Conditionnement : bidon de 5L ou 10L</w:t>
      </w:r>
    </w:p>
    <w:p w:rsidR="00CB36DD" w:rsidRPr="004A16E8" w:rsidRDefault="00CB36DD" w:rsidP="00CB36DD">
      <w:pPr>
        <w:pStyle w:val="Paragraphedeliste"/>
        <w:spacing w:line="276" w:lineRule="auto"/>
        <w:ind w:left="0"/>
        <w:jc w:val="both"/>
        <w:rPr>
          <w:sz w:val="22"/>
          <w:szCs w:val="22"/>
        </w:rPr>
      </w:pPr>
      <w:r w:rsidRPr="004A16E8">
        <w:rPr>
          <w:sz w:val="22"/>
          <w:szCs w:val="22"/>
        </w:rPr>
        <w:t>Composition :</w:t>
      </w:r>
    </w:p>
    <w:p w:rsidR="00CB36DD" w:rsidRPr="004A16E8" w:rsidRDefault="00CB36DD" w:rsidP="00CB36DD">
      <w:pPr>
        <w:pStyle w:val="Paragraphedeliste"/>
        <w:spacing w:line="276" w:lineRule="auto"/>
        <w:ind w:left="720"/>
        <w:jc w:val="both"/>
        <w:rPr>
          <w:sz w:val="22"/>
          <w:szCs w:val="22"/>
        </w:rPr>
      </w:pPr>
      <w:r w:rsidRPr="004A16E8">
        <w:rPr>
          <w:sz w:val="22"/>
          <w:szCs w:val="22"/>
        </w:rPr>
        <w:t xml:space="preserve"> 1000ml d’eau purifiée </w:t>
      </w:r>
      <w:proofErr w:type="gramStart"/>
      <w:r w:rsidRPr="004A16E8">
        <w:rPr>
          <w:sz w:val="22"/>
          <w:szCs w:val="22"/>
        </w:rPr>
        <w:t>contient:</w:t>
      </w:r>
      <w:proofErr w:type="gramEnd"/>
    </w:p>
    <w:p w:rsidR="00CB36DD" w:rsidRPr="004A16E8" w:rsidRDefault="00CB36DD" w:rsidP="00CB36DD">
      <w:pPr>
        <w:pStyle w:val="Paragraphedeliste"/>
        <w:numPr>
          <w:ilvl w:val="0"/>
          <w:numId w:val="18"/>
        </w:numPr>
        <w:spacing w:line="276" w:lineRule="auto"/>
        <w:jc w:val="both"/>
        <w:rPr>
          <w:sz w:val="22"/>
          <w:szCs w:val="22"/>
        </w:rPr>
      </w:pPr>
      <w:r w:rsidRPr="004A16E8">
        <w:rPr>
          <w:sz w:val="22"/>
          <w:szCs w:val="22"/>
        </w:rPr>
        <w:t>Sodium Chloride 210.7 grammes ou 138mmmol/l ±5%</w:t>
      </w:r>
    </w:p>
    <w:p w:rsidR="00CB36DD" w:rsidRPr="004A16E8" w:rsidRDefault="00CB36DD" w:rsidP="00CB36DD">
      <w:pPr>
        <w:pStyle w:val="Paragraphedeliste"/>
        <w:numPr>
          <w:ilvl w:val="0"/>
          <w:numId w:val="18"/>
        </w:numPr>
        <w:spacing w:line="276" w:lineRule="auto"/>
        <w:jc w:val="both"/>
        <w:rPr>
          <w:sz w:val="22"/>
          <w:szCs w:val="22"/>
        </w:rPr>
      </w:pPr>
      <w:r w:rsidRPr="004A16E8">
        <w:rPr>
          <w:sz w:val="22"/>
          <w:szCs w:val="22"/>
        </w:rPr>
        <w:t xml:space="preserve">Calcium Chloride 7.72grammes ou 1.50 </w:t>
      </w:r>
      <w:proofErr w:type="spellStart"/>
      <w:r w:rsidRPr="004A16E8">
        <w:rPr>
          <w:sz w:val="22"/>
          <w:szCs w:val="22"/>
        </w:rPr>
        <w:t>mmmol</w:t>
      </w:r>
      <w:proofErr w:type="spellEnd"/>
      <w:r w:rsidRPr="004A16E8">
        <w:rPr>
          <w:sz w:val="22"/>
          <w:szCs w:val="22"/>
        </w:rPr>
        <w:t>/l ±5%</w:t>
      </w:r>
    </w:p>
    <w:p w:rsidR="00CB36DD" w:rsidRPr="004A16E8" w:rsidRDefault="00CB36DD" w:rsidP="00CB36DD">
      <w:pPr>
        <w:pStyle w:val="Paragraphedeliste"/>
        <w:numPr>
          <w:ilvl w:val="0"/>
          <w:numId w:val="18"/>
        </w:numPr>
        <w:spacing w:line="276" w:lineRule="auto"/>
        <w:jc w:val="both"/>
        <w:rPr>
          <w:sz w:val="22"/>
          <w:szCs w:val="22"/>
        </w:rPr>
      </w:pPr>
      <w:r w:rsidRPr="004A16E8">
        <w:rPr>
          <w:sz w:val="22"/>
          <w:szCs w:val="22"/>
        </w:rPr>
        <w:t xml:space="preserve">Potassium Chloride 5.22 </w:t>
      </w:r>
      <w:proofErr w:type="gramStart"/>
      <w:r w:rsidRPr="004A16E8">
        <w:rPr>
          <w:sz w:val="22"/>
          <w:szCs w:val="22"/>
        </w:rPr>
        <w:t>grammes  ou</w:t>
      </w:r>
      <w:proofErr w:type="gramEnd"/>
      <w:r w:rsidRPr="004A16E8">
        <w:rPr>
          <w:sz w:val="22"/>
          <w:szCs w:val="22"/>
        </w:rPr>
        <w:t xml:space="preserve"> 2.00 </w:t>
      </w:r>
      <w:proofErr w:type="spellStart"/>
      <w:r w:rsidRPr="004A16E8">
        <w:rPr>
          <w:sz w:val="22"/>
          <w:szCs w:val="22"/>
        </w:rPr>
        <w:t>mmmol</w:t>
      </w:r>
      <w:proofErr w:type="spellEnd"/>
      <w:r w:rsidRPr="004A16E8">
        <w:rPr>
          <w:sz w:val="22"/>
          <w:szCs w:val="22"/>
        </w:rPr>
        <w:t>/l ±5%</w:t>
      </w:r>
    </w:p>
    <w:p w:rsidR="00CB36DD" w:rsidRPr="004A16E8" w:rsidRDefault="00CB36DD" w:rsidP="00CB36DD">
      <w:pPr>
        <w:pStyle w:val="Paragraphedeliste"/>
        <w:numPr>
          <w:ilvl w:val="0"/>
          <w:numId w:val="18"/>
        </w:numPr>
        <w:spacing w:line="276" w:lineRule="auto"/>
        <w:jc w:val="both"/>
        <w:rPr>
          <w:sz w:val="22"/>
          <w:szCs w:val="22"/>
        </w:rPr>
      </w:pPr>
      <w:proofErr w:type="spellStart"/>
      <w:r w:rsidRPr="004A16E8">
        <w:rPr>
          <w:sz w:val="22"/>
          <w:szCs w:val="22"/>
        </w:rPr>
        <w:t>Magnesium</w:t>
      </w:r>
      <w:proofErr w:type="spellEnd"/>
      <w:r w:rsidRPr="004A16E8">
        <w:rPr>
          <w:sz w:val="22"/>
          <w:szCs w:val="22"/>
        </w:rPr>
        <w:t xml:space="preserve"> </w:t>
      </w:r>
      <w:proofErr w:type="spellStart"/>
      <w:r w:rsidRPr="004A16E8">
        <w:rPr>
          <w:sz w:val="22"/>
          <w:szCs w:val="22"/>
        </w:rPr>
        <w:t>chloride</w:t>
      </w:r>
      <w:proofErr w:type="spellEnd"/>
      <w:r w:rsidRPr="004A16E8">
        <w:rPr>
          <w:sz w:val="22"/>
          <w:szCs w:val="22"/>
        </w:rPr>
        <w:t xml:space="preserve"> 7.12 grammes ou 1.00 </w:t>
      </w:r>
      <w:proofErr w:type="spellStart"/>
      <w:r w:rsidRPr="004A16E8">
        <w:rPr>
          <w:sz w:val="22"/>
          <w:szCs w:val="22"/>
        </w:rPr>
        <w:t>mmmol</w:t>
      </w:r>
      <w:proofErr w:type="spellEnd"/>
      <w:r w:rsidRPr="004A16E8">
        <w:rPr>
          <w:sz w:val="22"/>
          <w:szCs w:val="22"/>
        </w:rPr>
        <w:t>/l ±5%</w:t>
      </w:r>
    </w:p>
    <w:p w:rsidR="00CB36DD" w:rsidRPr="004A16E8" w:rsidRDefault="00CB36DD" w:rsidP="00CB36DD">
      <w:pPr>
        <w:pStyle w:val="Paragraphedeliste"/>
        <w:numPr>
          <w:ilvl w:val="0"/>
          <w:numId w:val="18"/>
        </w:numPr>
        <w:spacing w:line="276" w:lineRule="auto"/>
        <w:jc w:val="both"/>
        <w:rPr>
          <w:sz w:val="22"/>
          <w:szCs w:val="22"/>
        </w:rPr>
      </w:pPr>
      <w:proofErr w:type="spellStart"/>
      <w:r w:rsidRPr="004A16E8">
        <w:rPr>
          <w:sz w:val="22"/>
          <w:szCs w:val="22"/>
        </w:rPr>
        <w:t>Acetic</w:t>
      </w:r>
      <w:proofErr w:type="spellEnd"/>
      <w:r w:rsidRPr="004A16E8">
        <w:rPr>
          <w:sz w:val="22"/>
          <w:szCs w:val="22"/>
        </w:rPr>
        <w:t xml:space="preserve"> </w:t>
      </w:r>
      <w:proofErr w:type="spellStart"/>
      <w:r w:rsidRPr="004A16E8">
        <w:rPr>
          <w:sz w:val="22"/>
          <w:szCs w:val="22"/>
        </w:rPr>
        <w:t>acid</w:t>
      </w:r>
      <w:proofErr w:type="spellEnd"/>
      <w:r w:rsidRPr="004A16E8">
        <w:rPr>
          <w:sz w:val="22"/>
          <w:szCs w:val="22"/>
        </w:rPr>
        <w:t xml:space="preserve"> 6.31 grammes ou 3.0 </w:t>
      </w:r>
      <w:proofErr w:type="spellStart"/>
      <w:r w:rsidRPr="004A16E8">
        <w:rPr>
          <w:sz w:val="22"/>
          <w:szCs w:val="22"/>
        </w:rPr>
        <w:t>mmmol</w:t>
      </w:r>
      <w:proofErr w:type="spellEnd"/>
      <w:r w:rsidRPr="004A16E8">
        <w:rPr>
          <w:sz w:val="22"/>
          <w:szCs w:val="22"/>
        </w:rPr>
        <w:t>/l ±5%</w:t>
      </w:r>
    </w:p>
    <w:p w:rsidR="00CB36DD" w:rsidRPr="004A16E8" w:rsidRDefault="00CB36DD" w:rsidP="00CB36DD">
      <w:pPr>
        <w:pStyle w:val="Paragraphedeliste"/>
        <w:spacing w:line="276" w:lineRule="auto"/>
        <w:ind w:left="0"/>
        <w:jc w:val="both"/>
        <w:rPr>
          <w:sz w:val="22"/>
          <w:szCs w:val="22"/>
        </w:rPr>
      </w:pPr>
      <w:r w:rsidRPr="004A16E8">
        <w:rPr>
          <w:sz w:val="22"/>
          <w:szCs w:val="22"/>
        </w:rPr>
        <w:t>Les mentions légales sur le bidon doivent être claires et complètes.</w:t>
      </w:r>
    </w:p>
    <w:p w:rsidR="00CB36DD" w:rsidRPr="004A16E8" w:rsidRDefault="00CB36DD" w:rsidP="00CB36DD">
      <w:pPr>
        <w:pStyle w:val="Titre2"/>
        <w:numPr>
          <w:ilvl w:val="1"/>
          <w:numId w:val="29"/>
        </w:numPr>
        <w:spacing w:line="276" w:lineRule="auto"/>
        <w:rPr>
          <w:rFonts w:ascii="Arial" w:hAnsi="Arial" w:cs="Arial"/>
          <w:sz w:val="24"/>
          <w:szCs w:val="24"/>
        </w:rPr>
      </w:pPr>
      <w:bookmarkStart w:id="125" w:name="_Toc117431462"/>
      <w:bookmarkStart w:id="126" w:name="_Toc118208005"/>
      <w:r w:rsidRPr="004A16E8">
        <w:rPr>
          <w:rFonts w:ascii="Arial" w:hAnsi="Arial" w:cs="Arial"/>
          <w:sz w:val="24"/>
          <w:szCs w:val="24"/>
        </w:rPr>
        <w:lastRenderedPageBreak/>
        <w:t>Conformité des dialyseurs ou reins artificiels</w:t>
      </w:r>
      <w:bookmarkEnd w:id="125"/>
      <w:bookmarkEnd w:id="126"/>
    </w:p>
    <w:p w:rsidR="00CB36DD" w:rsidRPr="004A16E8" w:rsidRDefault="00CB36DD" w:rsidP="00CB36DD">
      <w:pPr>
        <w:pStyle w:val="yiv4444663644msonormal"/>
        <w:numPr>
          <w:ilvl w:val="0"/>
          <w:numId w:val="22"/>
        </w:numPr>
        <w:spacing w:before="0" w:beforeAutospacing="0" w:after="0" w:afterAutospacing="0" w:line="276" w:lineRule="auto"/>
        <w:jc w:val="both"/>
        <w:rPr>
          <w:rFonts w:ascii="Arial" w:eastAsia="Times New Roman" w:hAnsi="Arial" w:cs="Arial"/>
          <w:sz w:val="22"/>
          <w:szCs w:val="22"/>
        </w:rPr>
      </w:pPr>
      <w:r w:rsidRPr="004A16E8">
        <w:rPr>
          <w:rFonts w:ascii="Arial" w:eastAsia="Times New Roman" w:hAnsi="Arial" w:cs="Arial"/>
          <w:sz w:val="22"/>
          <w:szCs w:val="22"/>
        </w:rPr>
        <w:t>Dialyseur haute performance, à faible flux (F6= 1.3 m</w:t>
      </w:r>
      <w:r w:rsidRPr="004A16E8">
        <w:rPr>
          <w:rFonts w:ascii="Arial" w:eastAsia="Times New Roman" w:hAnsi="Arial" w:cs="Arial"/>
          <w:sz w:val="22"/>
          <w:szCs w:val="22"/>
          <w:vertAlign w:val="superscript"/>
        </w:rPr>
        <w:t>2 </w:t>
      </w:r>
      <w:r w:rsidRPr="004A16E8">
        <w:rPr>
          <w:rFonts w:ascii="Arial" w:eastAsia="Times New Roman" w:hAnsi="Arial" w:cs="Arial"/>
          <w:sz w:val="22"/>
          <w:szCs w:val="22"/>
        </w:rPr>
        <w:t>; F7= 1.6 m</w:t>
      </w:r>
      <w:r w:rsidRPr="004A16E8">
        <w:rPr>
          <w:rFonts w:ascii="Arial" w:eastAsia="Times New Roman" w:hAnsi="Arial" w:cs="Arial"/>
          <w:sz w:val="22"/>
          <w:szCs w:val="22"/>
          <w:vertAlign w:val="superscript"/>
        </w:rPr>
        <w:t>2 </w:t>
      </w:r>
      <w:r w:rsidRPr="004A16E8">
        <w:rPr>
          <w:rFonts w:ascii="Arial" w:eastAsia="Times New Roman" w:hAnsi="Arial" w:cs="Arial"/>
          <w:sz w:val="22"/>
          <w:szCs w:val="22"/>
        </w:rPr>
        <w:t>; F8= 1.8 m</w:t>
      </w:r>
      <w:r w:rsidRPr="004A16E8">
        <w:rPr>
          <w:rFonts w:ascii="Arial" w:eastAsia="Times New Roman" w:hAnsi="Arial" w:cs="Arial"/>
          <w:sz w:val="22"/>
          <w:szCs w:val="22"/>
          <w:vertAlign w:val="superscript"/>
        </w:rPr>
        <w:t>2)</w:t>
      </w:r>
      <w:r w:rsidRPr="004A16E8">
        <w:rPr>
          <w:rFonts w:ascii="Arial" w:eastAsia="Times New Roman" w:hAnsi="Arial" w:cs="Arial"/>
          <w:sz w:val="22"/>
          <w:szCs w:val="22"/>
        </w:rPr>
        <w:t xml:space="preserve">, </w:t>
      </w:r>
    </w:p>
    <w:p w:rsidR="00CB36DD" w:rsidRPr="004A16E8" w:rsidRDefault="00CB36DD" w:rsidP="00CB36DD">
      <w:pPr>
        <w:pStyle w:val="yiv4444663644msonormal"/>
        <w:numPr>
          <w:ilvl w:val="0"/>
          <w:numId w:val="22"/>
        </w:numPr>
        <w:spacing w:before="0" w:beforeAutospacing="0" w:after="0" w:afterAutospacing="0" w:line="276" w:lineRule="auto"/>
        <w:jc w:val="both"/>
        <w:rPr>
          <w:rFonts w:ascii="Arial" w:eastAsia="Times New Roman" w:hAnsi="Arial" w:cs="Arial"/>
          <w:sz w:val="22"/>
          <w:szCs w:val="22"/>
        </w:rPr>
      </w:pPr>
      <w:proofErr w:type="gramStart"/>
      <w:r w:rsidRPr="004A16E8">
        <w:rPr>
          <w:rFonts w:ascii="Arial" w:eastAsia="Times New Roman" w:hAnsi="Arial" w:cs="Arial"/>
          <w:sz w:val="22"/>
          <w:szCs w:val="22"/>
        </w:rPr>
        <w:t>α</w:t>
      </w:r>
      <w:proofErr w:type="gramEnd"/>
      <w:r w:rsidRPr="004A16E8">
        <w:rPr>
          <w:rFonts w:ascii="Arial" w:eastAsia="Times New Roman" w:hAnsi="Arial" w:cs="Arial"/>
          <w:sz w:val="22"/>
          <w:szCs w:val="22"/>
        </w:rPr>
        <w:t xml:space="preserve"> </w:t>
      </w:r>
      <w:proofErr w:type="spellStart"/>
      <w:r w:rsidRPr="004A16E8">
        <w:rPr>
          <w:rFonts w:ascii="Arial" w:eastAsia="Times New Roman" w:hAnsi="Arial" w:cs="Arial"/>
          <w:sz w:val="22"/>
          <w:szCs w:val="22"/>
        </w:rPr>
        <w:t>Polysulfone</w:t>
      </w:r>
      <w:proofErr w:type="spellEnd"/>
      <w:r w:rsidRPr="004A16E8">
        <w:rPr>
          <w:rFonts w:ascii="Arial" w:eastAsia="Times New Roman" w:hAnsi="Arial" w:cs="Arial"/>
          <w:sz w:val="22"/>
          <w:szCs w:val="22"/>
        </w:rPr>
        <w:t>, stérilisation par rayonnement gamma sans oxygène.</w:t>
      </w:r>
    </w:p>
    <w:p w:rsidR="00CB36DD" w:rsidRPr="004A16E8" w:rsidRDefault="00CB36DD" w:rsidP="00CB36DD">
      <w:pPr>
        <w:pStyle w:val="yiv4444663644msonormal"/>
        <w:numPr>
          <w:ilvl w:val="0"/>
          <w:numId w:val="22"/>
        </w:numPr>
        <w:spacing w:before="0" w:beforeAutospacing="0" w:after="0" w:afterAutospacing="0" w:line="276" w:lineRule="auto"/>
        <w:jc w:val="both"/>
        <w:rPr>
          <w:rFonts w:ascii="Arial" w:eastAsia="Times New Roman" w:hAnsi="Arial" w:cs="Arial"/>
          <w:sz w:val="22"/>
          <w:szCs w:val="22"/>
        </w:rPr>
      </w:pPr>
      <w:r w:rsidRPr="004A16E8">
        <w:rPr>
          <w:rFonts w:ascii="Arial" w:eastAsia="Times New Roman" w:hAnsi="Arial" w:cs="Arial"/>
          <w:sz w:val="22"/>
          <w:szCs w:val="22"/>
        </w:rPr>
        <w:t xml:space="preserve">Coefficient d'ultrafiltration ml / h / </w:t>
      </w:r>
      <w:proofErr w:type="spellStart"/>
      <w:r w:rsidRPr="004A16E8">
        <w:rPr>
          <w:rFonts w:ascii="Arial" w:eastAsia="Times New Roman" w:hAnsi="Arial" w:cs="Arial"/>
          <w:sz w:val="22"/>
          <w:szCs w:val="22"/>
        </w:rPr>
        <w:t>mmHg</w:t>
      </w:r>
      <w:proofErr w:type="spellEnd"/>
      <w:r w:rsidRPr="004A16E8">
        <w:rPr>
          <w:rFonts w:ascii="Arial" w:eastAsia="Times New Roman" w:hAnsi="Arial" w:cs="Arial"/>
          <w:sz w:val="22"/>
          <w:szCs w:val="22"/>
        </w:rPr>
        <w:t xml:space="preserve"> QB = 300 ml / min 11-</w:t>
      </w:r>
      <w:proofErr w:type="gramStart"/>
      <w:r w:rsidRPr="004A16E8">
        <w:rPr>
          <w:rFonts w:ascii="Arial" w:eastAsia="Times New Roman" w:hAnsi="Arial" w:cs="Arial"/>
          <w:sz w:val="22"/>
          <w:szCs w:val="22"/>
        </w:rPr>
        <w:t>17;</w:t>
      </w:r>
      <w:proofErr w:type="gramEnd"/>
      <w:r w:rsidRPr="004A16E8">
        <w:rPr>
          <w:rFonts w:ascii="Arial" w:eastAsia="Times New Roman" w:hAnsi="Arial" w:cs="Arial"/>
          <w:sz w:val="22"/>
          <w:szCs w:val="22"/>
        </w:rPr>
        <w:t xml:space="preserve"> </w:t>
      </w:r>
    </w:p>
    <w:p w:rsidR="00CB36DD" w:rsidRPr="004A16E8" w:rsidRDefault="00CB36DD" w:rsidP="00CB36DD">
      <w:pPr>
        <w:pStyle w:val="yiv4444663644msonormal"/>
        <w:numPr>
          <w:ilvl w:val="0"/>
          <w:numId w:val="22"/>
        </w:numPr>
        <w:spacing w:before="0" w:beforeAutospacing="0" w:after="0" w:afterAutospacing="0" w:line="276" w:lineRule="auto"/>
        <w:jc w:val="both"/>
        <w:rPr>
          <w:rFonts w:ascii="Arial" w:eastAsia="Times New Roman" w:hAnsi="Arial" w:cs="Arial"/>
          <w:sz w:val="22"/>
          <w:szCs w:val="22"/>
        </w:rPr>
      </w:pPr>
      <w:r w:rsidRPr="004A16E8">
        <w:rPr>
          <w:rFonts w:ascii="Arial" w:eastAsia="Times New Roman" w:hAnsi="Arial" w:cs="Arial"/>
          <w:sz w:val="22"/>
          <w:szCs w:val="22"/>
        </w:rPr>
        <w:t>Clairance (débit de dialysat = 500 ml / min, débit d'ultrafiltration (QF) = 0 ml / min) Urée : 192-310, créatinine : 180-290, phosphate : 150-220, vitamine B12 : 90-130</w:t>
      </w:r>
    </w:p>
    <w:p w:rsidR="00CB36DD" w:rsidRPr="004A16E8" w:rsidRDefault="00CB36DD" w:rsidP="00CB36DD">
      <w:pPr>
        <w:pStyle w:val="Paragraphedeliste"/>
        <w:numPr>
          <w:ilvl w:val="0"/>
          <w:numId w:val="22"/>
        </w:numPr>
        <w:spacing w:line="276" w:lineRule="auto"/>
        <w:jc w:val="both"/>
        <w:rPr>
          <w:bCs/>
          <w:sz w:val="22"/>
          <w:szCs w:val="22"/>
        </w:rPr>
      </w:pPr>
      <w:r w:rsidRPr="004A16E8">
        <w:rPr>
          <w:sz w:val="22"/>
          <w:szCs w:val="22"/>
        </w:rPr>
        <w:t>L’emballage doit contenir toutes les informations utiles : surface, marquage, nature de</w:t>
      </w:r>
      <w:r w:rsidRPr="004A16E8">
        <w:rPr>
          <w:bCs/>
          <w:sz w:val="22"/>
          <w:szCs w:val="22"/>
        </w:rPr>
        <w:t xml:space="preserve"> </w:t>
      </w:r>
      <w:r w:rsidRPr="004A16E8">
        <w:rPr>
          <w:sz w:val="22"/>
          <w:szCs w:val="22"/>
        </w:rPr>
        <w:t>la stérilisation, lot, date de stérilisation et date de péremption.</w:t>
      </w:r>
    </w:p>
    <w:p w:rsidR="00CB36DD" w:rsidRPr="004A16E8" w:rsidRDefault="00CB36DD" w:rsidP="00CB36DD">
      <w:pPr>
        <w:pStyle w:val="Titre2"/>
        <w:numPr>
          <w:ilvl w:val="1"/>
          <w:numId w:val="29"/>
        </w:numPr>
        <w:spacing w:line="276" w:lineRule="auto"/>
        <w:rPr>
          <w:rFonts w:ascii="Arial" w:hAnsi="Arial" w:cs="Arial"/>
          <w:sz w:val="24"/>
          <w:szCs w:val="24"/>
        </w:rPr>
      </w:pPr>
      <w:bookmarkStart w:id="127" w:name="_Toc117431463"/>
      <w:bookmarkStart w:id="128" w:name="_Toc118208006"/>
      <w:r w:rsidRPr="004A16E8">
        <w:rPr>
          <w:rFonts w:ascii="Arial" w:hAnsi="Arial" w:cs="Arial"/>
          <w:sz w:val="24"/>
          <w:szCs w:val="24"/>
        </w:rPr>
        <w:t>Conformité des cathéters double flux pour hémodialyse</w:t>
      </w:r>
      <w:bookmarkEnd w:id="127"/>
      <w:bookmarkEnd w:id="128"/>
      <w:r w:rsidRPr="004A16E8">
        <w:rPr>
          <w:rFonts w:ascii="Arial" w:hAnsi="Arial" w:cs="Arial"/>
          <w:sz w:val="24"/>
          <w:szCs w:val="24"/>
        </w:rPr>
        <w:t xml:space="preserve">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 xml:space="preserve">Cathéter à double lumière 15-20 cm, incl.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 xml:space="preserve">Canule de valve 18 G (1,3 mm),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 xml:space="preserve">Fil de guidage marqué avec embout en J flexible dans un distributeur, dilatateur 12 Fr, scalpel, bouchon d'injection, câble de connexion pour sonde ECG intra-auriculaire, seringue : 5 ml,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 xml:space="preserve">Volume d'amorçage : 12-14 ml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 xml:space="preserve">Débit : 200 - 240 ml / min distal ; 240-270 ml / min proximal </w:t>
      </w:r>
    </w:p>
    <w:p w:rsidR="00CB36DD" w:rsidRPr="004A16E8" w:rsidRDefault="00CB36DD" w:rsidP="00CB36DD">
      <w:pPr>
        <w:pStyle w:val="Paragraphedeliste"/>
        <w:numPr>
          <w:ilvl w:val="0"/>
          <w:numId w:val="22"/>
        </w:numPr>
        <w:spacing w:line="276" w:lineRule="auto"/>
        <w:jc w:val="both"/>
        <w:rPr>
          <w:sz w:val="22"/>
          <w:szCs w:val="22"/>
        </w:rPr>
      </w:pPr>
      <w:r w:rsidRPr="004A16E8">
        <w:rPr>
          <w:sz w:val="22"/>
          <w:szCs w:val="22"/>
        </w:rPr>
        <w:t>Sans DEHP</w:t>
      </w:r>
    </w:p>
    <w:p w:rsidR="00CB36DD" w:rsidRPr="004A16E8" w:rsidRDefault="00CB36DD" w:rsidP="00CB36DD">
      <w:pPr>
        <w:pStyle w:val="Titre2"/>
        <w:numPr>
          <w:ilvl w:val="1"/>
          <w:numId w:val="29"/>
        </w:numPr>
        <w:spacing w:line="276" w:lineRule="auto"/>
        <w:rPr>
          <w:rFonts w:ascii="Arial" w:hAnsi="Arial" w:cs="Arial"/>
          <w:sz w:val="24"/>
          <w:szCs w:val="24"/>
        </w:rPr>
      </w:pPr>
      <w:bookmarkStart w:id="129" w:name="_Toc117431464"/>
      <w:bookmarkStart w:id="130" w:name="_Toc118208007"/>
      <w:r w:rsidRPr="004A16E8">
        <w:rPr>
          <w:rFonts w:ascii="Arial" w:hAnsi="Arial" w:cs="Arial"/>
          <w:sz w:val="24"/>
          <w:szCs w:val="24"/>
        </w:rPr>
        <w:t>Conformité des cartouches de bicarbonate pour hémodialyse</w:t>
      </w:r>
      <w:bookmarkEnd w:id="129"/>
      <w:bookmarkEnd w:id="130"/>
    </w:p>
    <w:p w:rsidR="00CB36DD" w:rsidRDefault="00CB36DD" w:rsidP="00CB36DD">
      <w:pPr>
        <w:pStyle w:val="yiv4444663644msonormal"/>
        <w:spacing w:line="276" w:lineRule="auto"/>
        <w:jc w:val="both"/>
        <w:rPr>
          <w:rFonts w:ascii="Arial" w:eastAsia="Times New Roman" w:hAnsi="Arial" w:cs="Arial"/>
          <w:sz w:val="22"/>
          <w:szCs w:val="22"/>
        </w:rPr>
      </w:pPr>
      <w:r w:rsidRPr="004A16E8">
        <w:rPr>
          <w:rFonts w:ascii="Arial" w:eastAsia="Times New Roman" w:hAnsi="Arial" w:cs="Arial"/>
          <w:sz w:val="22"/>
          <w:szCs w:val="22"/>
        </w:rPr>
        <w:t>Compatible avec les machines de dialyse d'origine, cartouche de bicarbonate poudre ou granule en quantité suffisante pour une séance de dialyse, 650g. Le conditionnement en sac/bag n’est pas accepté.</w:t>
      </w:r>
    </w:p>
    <w:p w:rsidR="000E7689" w:rsidRPr="004A16E8" w:rsidRDefault="000E7689" w:rsidP="00CB36DD">
      <w:pPr>
        <w:pStyle w:val="yiv4444663644msonormal"/>
        <w:spacing w:line="276" w:lineRule="auto"/>
        <w:jc w:val="both"/>
        <w:rPr>
          <w:rFonts w:ascii="Arial" w:eastAsia="Times New Roman" w:hAnsi="Arial" w:cs="Arial"/>
          <w:sz w:val="22"/>
          <w:szCs w:val="22"/>
        </w:rPr>
      </w:pPr>
    </w:p>
    <w:p w:rsidR="00C25EDA" w:rsidRDefault="00C25EDA"/>
    <w:sectPr w:rsidR="00C25E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140236"/>
    <w:multiLevelType w:val="hybridMultilevel"/>
    <w:tmpl w:val="12661EE2"/>
    <w:lvl w:ilvl="0" w:tplc="FFFFFFFF">
      <w:start w:val="1"/>
      <w:numFmt w:val="bullet"/>
      <w:lvlText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AF77A3"/>
    <w:multiLevelType w:val="hybridMultilevel"/>
    <w:tmpl w:val="D0F4ADA8"/>
    <w:lvl w:ilvl="0" w:tplc="040C0001">
      <w:start w:val="1"/>
      <w:numFmt w:val="bullet"/>
      <w:lvlText w:val=""/>
      <w:lvlJc w:val="left"/>
      <w:pPr>
        <w:tabs>
          <w:tab w:val="num" w:pos="928"/>
        </w:tabs>
        <w:ind w:left="928" w:hanging="360"/>
      </w:pPr>
      <w:rPr>
        <w:rFonts w:ascii="Symbol" w:hAnsi="Symbol"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3" w15:restartNumberingAfterBreak="0">
    <w:nsid w:val="1A7D6438"/>
    <w:multiLevelType w:val="hybridMultilevel"/>
    <w:tmpl w:val="02E693E0"/>
    <w:lvl w:ilvl="0" w:tplc="6A50E5BE">
      <w:start w:val="1"/>
      <w:numFmt w:val="decimal"/>
      <w:pStyle w:val="Titre2"/>
      <w:lvlText w:val="ARTICLE %1 : "/>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534" w:hanging="360"/>
      </w:pPr>
    </w:lvl>
    <w:lvl w:ilvl="2" w:tplc="040C001B" w:tentative="1">
      <w:start w:val="1"/>
      <w:numFmt w:val="lowerRoman"/>
      <w:lvlText w:val="%3."/>
      <w:lvlJc w:val="right"/>
      <w:pPr>
        <w:ind w:left="186" w:hanging="180"/>
      </w:pPr>
    </w:lvl>
    <w:lvl w:ilvl="3" w:tplc="040C000F" w:tentative="1">
      <w:start w:val="1"/>
      <w:numFmt w:val="decimal"/>
      <w:lvlText w:val="%4."/>
      <w:lvlJc w:val="left"/>
      <w:pPr>
        <w:ind w:left="906" w:hanging="360"/>
      </w:pPr>
    </w:lvl>
    <w:lvl w:ilvl="4" w:tplc="040C0019" w:tentative="1">
      <w:start w:val="1"/>
      <w:numFmt w:val="lowerLetter"/>
      <w:lvlText w:val="%5."/>
      <w:lvlJc w:val="left"/>
      <w:pPr>
        <w:ind w:left="1626" w:hanging="360"/>
      </w:pPr>
    </w:lvl>
    <w:lvl w:ilvl="5" w:tplc="040C001B" w:tentative="1">
      <w:start w:val="1"/>
      <w:numFmt w:val="lowerRoman"/>
      <w:lvlText w:val="%6."/>
      <w:lvlJc w:val="right"/>
      <w:pPr>
        <w:ind w:left="2346" w:hanging="180"/>
      </w:pPr>
    </w:lvl>
    <w:lvl w:ilvl="6" w:tplc="040C000F" w:tentative="1">
      <w:start w:val="1"/>
      <w:numFmt w:val="decimal"/>
      <w:lvlText w:val="%7."/>
      <w:lvlJc w:val="left"/>
      <w:pPr>
        <w:ind w:left="3066" w:hanging="360"/>
      </w:pPr>
    </w:lvl>
    <w:lvl w:ilvl="7" w:tplc="040C0019" w:tentative="1">
      <w:start w:val="1"/>
      <w:numFmt w:val="lowerLetter"/>
      <w:lvlText w:val="%8."/>
      <w:lvlJc w:val="left"/>
      <w:pPr>
        <w:ind w:left="3786" w:hanging="360"/>
      </w:pPr>
    </w:lvl>
    <w:lvl w:ilvl="8" w:tplc="040C001B" w:tentative="1">
      <w:start w:val="1"/>
      <w:numFmt w:val="lowerRoman"/>
      <w:lvlText w:val="%9."/>
      <w:lvlJc w:val="right"/>
      <w:pPr>
        <w:ind w:left="4506" w:hanging="180"/>
      </w:pPr>
    </w:lvl>
  </w:abstractNum>
  <w:abstractNum w:abstractNumId="4" w15:restartNumberingAfterBreak="0">
    <w:nsid w:val="1E4A2CE0"/>
    <w:multiLevelType w:val="hybridMultilevel"/>
    <w:tmpl w:val="F7AE752A"/>
    <w:lvl w:ilvl="0" w:tplc="BAF6DE80">
      <w:start w:val="8"/>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683EFC"/>
    <w:multiLevelType w:val="hybridMultilevel"/>
    <w:tmpl w:val="1E9EF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41385"/>
    <w:multiLevelType w:val="hybridMultilevel"/>
    <w:tmpl w:val="F4D05C94"/>
    <w:lvl w:ilvl="0" w:tplc="9DB006B2">
      <w:start w:val="1"/>
      <w:numFmt w:val="decimal"/>
      <w:lvlText w:val="3.%1"/>
      <w:lvlJc w:val="left"/>
      <w:pPr>
        <w:ind w:left="720" w:hanging="360"/>
      </w:pPr>
      <w:rPr>
        <w:rFonts w:ascii="Arial" w:hAnsi="Arial" w:cs="Arial"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494D1E"/>
    <w:multiLevelType w:val="hybridMultilevel"/>
    <w:tmpl w:val="857C5D9A"/>
    <w:lvl w:ilvl="0" w:tplc="FFFFFFFF">
      <w:start w:val="1"/>
      <w:numFmt w:val="bullet"/>
      <w:lvlText w:val="%1"/>
      <w:lvlJc w:val="left"/>
      <w:pPr>
        <w:ind w:left="996" w:hanging="360"/>
      </w:pPr>
      <w:rPr>
        <w:rFonts w:ascii="Symbol" w:hAnsi="Symbol" w:hint="default"/>
      </w:rPr>
    </w:lvl>
    <w:lvl w:ilvl="1" w:tplc="040C0003" w:tentative="1">
      <w:start w:val="1"/>
      <w:numFmt w:val="bullet"/>
      <w:lvlText w:val="o"/>
      <w:lvlJc w:val="left"/>
      <w:pPr>
        <w:ind w:left="1716" w:hanging="360"/>
      </w:pPr>
      <w:rPr>
        <w:rFonts w:ascii="Courier New" w:hAnsi="Courier New" w:cs="Courier New" w:hint="default"/>
      </w:rPr>
    </w:lvl>
    <w:lvl w:ilvl="2" w:tplc="040C0005" w:tentative="1">
      <w:start w:val="1"/>
      <w:numFmt w:val="bullet"/>
      <w:lvlText w:val=""/>
      <w:lvlJc w:val="left"/>
      <w:pPr>
        <w:ind w:left="2436" w:hanging="360"/>
      </w:pPr>
      <w:rPr>
        <w:rFonts w:ascii="Wingdings" w:hAnsi="Wingdings" w:hint="default"/>
      </w:rPr>
    </w:lvl>
    <w:lvl w:ilvl="3" w:tplc="040C0001" w:tentative="1">
      <w:start w:val="1"/>
      <w:numFmt w:val="bullet"/>
      <w:lvlText w:val=""/>
      <w:lvlJc w:val="left"/>
      <w:pPr>
        <w:ind w:left="3156" w:hanging="360"/>
      </w:pPr>
      <w:rPr>
        <w:rFonts w:ascii="Symbol" w:hAnsi="Symbol" w:hint="default"/>
      </w:rPr>
    </w:lvl>
    <w:lvl w:ilvl="4" w:tplc="040C0003" w:tentative="1">
      <w:start w:val="1"/>
      <w:numFmt w:val="bullet"/>
      <w:lvlText w:val="o"/>
      <w:lvlJc w:val="left"/>
      <w:pPr>
        <w:ind w:left="3876" w:hanging="360"/>
      </w:pPr>
      <w:rPr>
        <w:rFonts w:ascii="Courier New" w:hAnsi="Courier New" w:cs="Courier New" w:hint="default"/>
      </w:rPr>
    </w:lvl>
    <w:lvl w:ilvl="5" w:tplc="040C0005" w:tentative="1">
      <w:start w:val="1"/>
      <w:numFmt w:val="bullet"/>
      <w:lvlText w:val=""/>
      <w:lvlJc w:val="left"/>
      <w:pPr>
        <w:ind w:left="4596" w:hanging="360"/>
      </w:pPr>
      <w:rPr>
        <w:rFonts w:ascii="Wingdings" w:hAnsi="Wingdings" w:hint="default"/>
      </w:rPr>
    </w:lvl>
    <w:lvl w:ilvl="6" w:tplc="040C0001" w:tentative="1">
      <w:start w:val="1"/>
      <w:numFmt w:val="bullet"/>
      <w:lvlText w:val=""/>
      <w:lvlJc w:val="left"/>
      <w:pPr>
        <w:ind w:left="5316" w:hanging="360"/>
      </w:pPr>
      <w:rPr>
        <w:rFonts w:ascii="Symbol" w:hAnsi="Symbol" w:hint="default"/>
      </w:rPr>
    </w:lvl>
    <w:lvl w:ilvl="7" w:tplc="040C0003" w:tentative="1">
      <w:start w:val="1"/>
      <w:numFmt w:val="bullet"/>
      <w:lvlText w:val="o"/>
      <w:lvlJc w:val="left"/>
      <w:pPr>
        <w:ind w:left="6036" w:hanging="360"/>
      </w:pPr>
      <w:rPr>
        <w:rFonts w:ascii="Courier New" w:hAnsi="Courier New" w:cs="Courier New" w:hint="default"/>
      </w:rPr>
    </w:lvl>
    <w:lvl w:ilvl="8" w:tplc="040C0005" w:tentative="1">
      <w:start w:val="1"/>
      <w:numFmt w:val="bullet"/>
      <w:lvlText w:val=""/>
      <w:lvlJc w:val="left"/>
      <w:pPr>
        <w:ind w:left="6756" w:hanging="360"/>
      </w:pPr>
      <w:rPr>
        <w:rFonts w:ascii="Wingdings" w:hAnsi="Wingdings" w:hint="default"/>
      </w:rPr>
    </w:lvl>
  </w:abstractNum>
  <w:abstractNum w:abstractNumId="8" w15:restartNumberingAfterBreak="0">
    <w:nsid w:val="32714C4B"/>
    <w:multiLevelType w:val="multilevel"/>
    <w:tmpl w:val="246EFA0E"/>
    <w:lvl w:ilvl="0">
      <w:start w:val="3"/>
      <w:numFmt w:val="decimal"/>
      <w:lvlText w:val="%1"/>
      <w:lvlJc w:val="left"/>
      <w:pPr>
        <w:ind w:left="465" w:hanging="465"/>
      </w:pPr>
      <w:rPr>
        <w:rFonts w:hint="default"/>
      </w:rPr>
    </w:lvl>
    <w:lvl w:ilvl="1">
      <w:start w:val="2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7136B6"/>
    <w:multiLevelType w:val="hybridMultilevel"/>
    <w:tmpl w:val="35DC80BC"/>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0" w15:restartNumberingAfterBreak="0">
    <w:nsid w:val="35C57CFA"/>
    <w:multiLevelType w:val="hybridMultilevel"/>
    <w:tmpl w:val="8D1E20B6"/>
    <w:lvl w:ilvl="0" w:tplc="BAF6DE80">
      <w:start w:val="8"/>
      <w:numFmt w:val="bullet"/>
      <w:lvlText w:val="-"/>
      <w:lvlJc w:val="left"/>
      <w:pPr>
        <w:ind w:left="766" w:hanging="360"/>
      </w:pPr>
      <w:rPr>
        <w:rFont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1" w15:restartNumberingAfterBreak="0">
    <w:nsid w:val="379D31F3"/>
    <w:multiLevelType w:val="hybridMultilevel"/>
    <w:tmpl w:val="911459C6"/>
    <w:lvl w:ilvl="0" w:tplc="FFFFFFFF">
      <w:start w:val="1"/>
      <w:numFmt w:val="bullet"/>
      <w:lvlText w:val="%1"/>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94A0FC8"/>
    <w:multiLevelType w:val="multilevel"/>
    <w:tmpl w:val="5E1EFC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B9B6D5B"/>
    <w:multiLevelType w:val="hybridMultilevel"/>
    <w:tmpl w:val="DBD87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BB12ED8"/>
    <w:multiLevelType w:val="hybridMultilevel"/>
    <w:tmpl w:val="BB1CC460"/>
    <w:lvl w:ilvl="0" w:tplc="218C841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15:restartNumberingAfterBreak="0">
    <w:nsid w:val="3F2B0517"/>
    <w:multiLevelType w:val="hybridMultilevel"/>
    <w:tmpl w:val="06CC2036"/>
    <w:lvl w:ilvl="0" w:tplc="BAF6DE80">
      <w:start w:val="8"/>
      <w:numFmt w:val="bullet"/>
      <w:lvlText w:val="-"/>
      <w:lvlJc w:val="left"/>
      <w:pPr>
        <w:ind w:left="766" w:hanging="360"/>
      </w:pPr>
      <w:rPr>
        <w:rFont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6" w15:restartNumberingAfterBreak="0">
    <w:nsid w:val="41F51C28"/>
    <w:multiLevelType w:val="hybridMultilevel"/>
    <w:tmpl w:val="B05E9B2E"/>
    <w:lvl w:ilvl="0" w:tplc="54E8DFB6">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491A00"/>
    <w:multiLevelType w:val="multilevel"/>
    <w:tmpl w:val="3280A984"/>
    <w:lvl w:ilvl="0">
      <w:start w:val="3"/>
      <w:numFmt w:val="decimal"/>
      <w:lvlText w:val="%1"/>
      <w:lvlJc w:val="left"/>
      <w:pPr>
        <w:ind w:left="465" w:hanging="465"/>
      </w:pPr>
      <w:rPr>
        <w:rFonts w:hint="default"/>
      </w:rPr>
    </w:lvl>
    <w:lvl w:ilvl="1">
      <w:start w:val="2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9606C9"/>
    <w:multiLevelType w:val="hybridMultilevel"/>
    <w:tmpl w:val="F3629E22"/>
    <w:lvl w:ilvl="0" w:tplc="065AFCEC">
      <w:start w:val="1"/>
      <w:numFmt w:val="decimal"/>
      <w:lvlText w:val="2.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4D727D"/>
    <w:multiLevelType w:val="hybridMultilevel"/>
    <w:tmpl w:val="71AEA16C"/>
    <w:lvl w:ilvl="0" w:tplc="7CB216E4">
      <w:start w:val="1"/>
      <w:numFmt w:val="decimal"/>
      <w:lvlText w:val="1.4.%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D724A4"/>
    <w:multiLevelType w:val="hybridMultilevel"/>
    <w:tmpl w:val="B400FCFC"/>
    <w:lvl w:ilvl="0" w:tplc="218C841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B285B1A"/>
    <w:multiLevelType w:val="hybridMultilevel"/>
    <w:tmpl w:val="D3588A6A"/>
    <w:lvl w:ilvl="0" w:tplc="B5C84F92">
      <w:start w:val="1"/>
      <w:numFmt w:val="decimal"/>
      <w:lvlText w:val="1.%1"/>
      <w:lvlJc w:val="left"/>
      <w:pPr>
        <w:ind w:left="720" w:hanging="360"/>
      </w:pPr>
      <w:rPr>
        <w:rFonts w:ascii="Arial" w:hAnsi="Arial" w:cs="Arial" w:hint="default"/>
        <w:b/>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DB40186"/>
    <w:multiLevelType w:val="hybridMultilevel"/>
    <w:tmpl w:val="A62081DC"/>
    <w:lvl w:ilvl="0" w:tplc="218C841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2E3135"/>
    <w:multiLevelType w:val="hybridMultilevel"/>
    <w:tmpl w:val="F8CAF91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61BA6CB0"/>
    <w:multiLevelType w:val="hybridMultilevel"/>
    <w:tmpl w:val="F0C6A106"/>
    <w:lvl w:ilvl="0" w:tplc="FFFFFFFF">
      <w:start w:val="1"/>
      <w:numFmt w:val="bullet"/>
      <w:lvlText w:val="%1"/>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5" w15:restartNumberingAfterBreak="0">
    <w:nsid w:val="698A2104"/>
    <w:multiLevelType w:val="hybridMultilevel"/>
    <w:tmpl w:val="BE402488"/>
    <w:lvl w:ilvl="0" w:tplc="BA1C68EA">
      <w:numFmt w:val="bullet"/>
      <w:lvlText w:val="-"/>
      <w:lvlJc w:val="left"/>
      <w:pPr>
        <w:ind w:left="360" w:hanging="360"/>
      </w:pPr>
      <w:rPr>
        <w:rFonts w:ascii="Century Gothic" w:eastAsiaTheme="minorHAnsi" w:hAnsi="Century Gothic" w:cs="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7C93D8A"/>
    <w:multiLevelType w:val="hybridMultilevel"/>
    <w:tmpl w:val="42D0B792"/>
    <w:lvl w:ilvl="0" w:tplc="BA1C68EA">
      <w:numFmt w:val="bullet"/>
      <w:lvlText w:val="-"/>
      <w:lvlJc w:val="left"/>
      <w:pPr>
        <w:ind w:left="360" w:hanging="360"/>
      </w:pPr>
      <w:rPr>
        <w:rFonts w:ascii="Century Gothic" w:eastAsiaTheme="minorHAnsi" w:hAnsi="Century Gothic" w:cs="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C8A0FE8"/>
    <w:multiLevelType w:val="hybridMultilevel"/>
    <w:tmpl w:val="DA4646EC"/>
    <w:lvl w:ilvl="0" w:tplc="BAF6DE80">
      <w:start w:val="8"/>
      <w:numFmt w:val="bullet"/>
      <w:lvlText w:val="-"/>
      <w:lvlJc w:val="left"/>
      <w:pPr>
        <w:ind w:left="1572" w:hanging="360"/>
      </w:pPr>
      <w:rPr>
        <w:rFonts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num w:numId="1">
    <w:abstractNumId w:val="0"/>
    <w:lvlOverride w:ilvl="0">
      <w:lvl w:ilvl="0">
        <w:start w:val="1"/>
        <w:numFmt w:val="bullet"/>
        <w:lvlText w:val="%1"/>
        <w:lvlJc w:val="left"/>
        <w:pPr>
          <w:ind w:left="720" w:hanging="360"/>
        </w:pPr>
        <w:rPr>
          <w:rFonts w:ascii="Symbol" w:hAnsi="Symbol" w:hint="default"/>
        </w:rPr>
      </w:lvl>
    </w:lvlOverride>
  </w:num>
  <w:num w:numId="2">
    <w:abstractNumId w:val="4"/>
  </w:num>
  <w:num w:numId="3">
    <w:abstractNumId w:val="7"/>
  </w:num>
  <w:num w:numId="4">
    <w:abstractNumId w:val="2"/>
  </w:num>
  <w:num w:numId="5">
    <w:abstractNumId w:val="21"/>
  </w:num>
  <w:num w:numId="6">
    <w:abstractNumId w:val="10"/>
  </w:num>
  <w:num w:numId="7">
    <w:abstractNumId w:val="9"/>
  </w:num>
  <w:num w:numId="8">
    <w:abstractNumId w:val="19"/>
  </w:num>
  <w:num w:numId="9">
    <w:abstractNumId w:val="16"/>
  </w:num>
  <w:num w:numId="10">
    <w:abstractNumId w:val="18"/>
  </w:num>
  <w:num w:numId="11">
    <w:abstractNumId w:val="1"/>
  </w:num>
  <w:num w:numId="12">
    <w:abstractNumId w:val="24"/>
  </w:num>
  <w:num w:numId="13">
    <w:abstractNumId w:val="15"/>
  </w:num>
  <w:num w:numId="14">
    <w:abstractNumId w:val="27"/>
  </w:num>
  <w:num w:numId="15">
    <w:abstractNumId w:val="6"/>
  </w:num>
  <w:num w:numId="16">
    <w:abstractNumId w:val="11"/>
  </w:num>
  <w:num w:numId="17">
    <w:abstractNumId w:val="5"/>
  </w:num>
  <w:num w:numId="18">
    <w:abstractNumId w:val="23"/>
  </w:num>
  <w:num w:numId="19">
    <w:abstractNumId w:val="3"/>
  </w:num>
  <w:num w:numId="20">
    <w:abstractNumId w:val="3"/>
    <w:lvlOverride w:ilvl="0">
      <w:startOverride w:val="1"/>
    </w:lvlOverride>
  </w:num>
  <w:num w:numId="21">
    <w:abstractNumId w:val="12"/>
  </w:num>
  <w:num w:numId="22">
    <w:abstractNumId w:val="25"/>
  </w:num>
  <w:num w:numId="23">
    <w:abstractNumId w:val="26"/>
  </w:num>
  <w:num w:numId="24">
    <w:abstractNumId w:val="20"/>
  </w:num>
  <w:num w:numId="25">
    <w:abstractNumId w:val="14"/>
  </w:num>
  <w:num w:numId="26">
    <w:abstractNumId w:val="22"/>
  </w:num>
  <w:num w:numId="27">
    <w:abstractNumId w:val="13"/>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DD"/>
    <w:rsid w:val="000E7689"/>
    <w:rsid w:val="00C25EDA"/>
    <w:rsid w:val="00CB36DD"/>
  </w:rsids>
  <m:mathPr>
    <m:mathFont m:val="Cambria Math"/>
    <m:brkBin m:val="before"/>
    <m:brkBinSub m:val="--"/>
    <m:smallFrac m:val="0"/>
    <m:dispDef/>
    <m:lMargin m:val="0"/>
    <m:rMargin m:val="0"/>
    <m:defJc m:val="centerGroup"/>
    <m:wrapIndent m:val="1440"/>
    <m:intLim m:val="subSup"/>
    <m:naryLim m:val="undOvr"/>
  </m:mathPr>
  <w:themeFontLang w:val="fr-M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AA8F"/>
  <w15:chartTrackingRefBased/>
  <w15:docId w15:val="{064F27B2-67AB-4A03-AA59-E36DA8E7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M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6DD"/>
    <w:rPr>
      <w:rFonts w:ascii="Century Gothic" w:hAnsi="Century Gothic"/>
      <w:lang w:val="fr-FR"/>
    </w:rPr>
  </w:style>
  <w:style w:type="paragraph" w:styleId="Titre1">
    <w:name w:val="heading 1"/>
    <w:basedOn w:val="Normal"/>
    <w:next w:val="Normal"/>
    <w:link w:val="Titre1Car"/>
    <w:uiPriority w:val="9"/>
    <w:qFormat/>
    <w:rsid w:val="00CB36DD"/>
    <w:pPr>
      <w:pBdr>
        <w:top w:val="single" w:sz="12" w:space="1" w:color="auto"/>
        <w:left w:val="single" w:sz="12" w:space="4" w:color="auto"/>
        <w:bottom w:val="single" w:sz="12" w:space="1" w:color="auto"/>
        <w:right w:val="single" w:sz="12" w:space="4" w:color="auto"/>
      </w:pBdr>
      <w:shd w:val="pct10" w:color="auto" w:fill="auto"/>
      <w:suppressAutoHyphens/>
      <w:autoSpaceDE w:val="0"/>
      <w:autoSpaceDN w:val="0"/>
      <w:adjustRightInd w:val="0"/>
      <w:spacing w:after="120" w:line="240" w:lineRule="auto"/>
      <w:jc w:val="center"/>
      <w:outlineLvl w:val="0"/>
    </w:pPr>
    <w:rPr>
      <w:rFonts w:eastAsia="Times New Roman" w:cs="Century Gothic"/>
      <w:b/>
      <w:color w:val="231F20"/>
      <w:sz w:val="36"/>
      <w:lang w:eastAsia="fr-FR"/>
    </w:rPr>
  </w:style>
  <w:style w:type="paragraph" w:styleId="Titre2">
    <w:name w:val="heading 2"/>
    <w:basedOn w:val="Normal"/>
    <w:next w:val="Normal"/>
    <w:link w:val="Titre2Car"/>
    <w:uiPriority w:val="9"/>
    <w:qFormat/>
    <w:rsid w:val="00CB36DD"/>
    <w:pPr>
      <w:keepNext/>
      <w:numPr>
        <w:numId w:val="19"/>
      </w:numPr>
      <w:suppressAutoHyphens/>
      <w:spacing w:before="240" w:after="240" w:line="240" w:lineRule="auto"/>
      <w:jc w:val="both"/>
      <w:outlineLvl w:val="1"/>
    </w:pPr>
    <w:rPr>
      <w:rFonts w:eastAsia="Times New Roman" w:cs="Times New Roman"/>
      <w:b/>
      <w:bCs/>
      <w:sz w:val="28"/>
      <w:szCs w:val="16"/>
      <w:lang w:eastAsia="fr-FR"/>
    </w:rPr>
  </w:style>
  <w:style w:type="paragraph" w:styleId="Titre4">
    <w:name w:val="heading 4"/>
    <w:basedOn w:val="Normal"/>
    <w:next w:val="Normal"/>
    <w:link w:val="Titre4Car"/>
    <w:uiPriority w:val="9"/>
    <w:qFormat/>
    <w:rsid w:val="00CB36DD"/>
    <w:pPr>
      <w:keepNext/>
      <w:tabs>
        <w:tab w:val="left" w:pos="0"/>
        <w:tab w:val="right" w:leader="dot" w:pos="8845"/>
      </w:tabs>
      <w:suppressAutoHyphens/>
      <w:spacing w:after="0" w:line="240" w:lineRule="auto"/>
      <w:jc w:val="right"/>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36DD"/>
    <w:rPr>
      <w:rFonts w:ascii="Century Gothic" w:eastAsia="Times New Roman" w:hAnsi="Century Gothic" w:cs="Century Gothic"/>
      <w:b/>
      <w:color w:val="231F20"/>
      <w:sz w:val="36"/>
      <w:shd w:val="pct10" w:color="auto" w:fill="auto"/>
      <w:lang w:val="fr-FR" w:eastAsia="fr-FR"/>
    </w:rPr>
  </w:style>
  <w:style w:type="character" w:customStyle="1" w:styleId="Titre2Car">
    <w:name w:val="Titre 2 Car"/>
    <w:basedOn w:val="Policepardfaut"/>
    <w:link w:val="Titre2"/>
    <w:uiPriority w:val="9"/>
    <w:rsid w:val="00CB36DD"/>
    <w:rPr>
      <w:rFonts w:ascii="Century Gothic" w:eastAsia="Times New Roman" w:hAnsi="Century Gothic" w:cs="Times New Roman"/>
      <w:b/>
      <w:bCs/>
      <w:sz w:val="28"/>
      <w:szCs w:val="16"/>
      <w:lang w:val="fr-FR" w:eastAsia="fr-FR"/>
    </w:rPr>
  </w:style>
  <w:style w:type="character" w:customStyle="1" w:styleId="Titre4Car">
    <w:name w:val="Titre 4 Car"/>
    <w:basedOn w:val="Policepardfaut"/>
    <w:link w:val="Titre4"/>
    <w:uiPriority w:val="9"/>
    <w:rsid w:val="00CB36DD"/>
    <w:rPr>
      <w:rFonts w:ascii="Times New Roman" w:eastAsia="Times New Roman" w:hAnsi="Times New Roman" w:cs="Times New Roman"/>
      <w:b/>
      <w:bCs/>
      <w:lang w:val="fr-FR" w:eastAsia="fr-FR"/>
    </w:rPr>
  </w:style>
  <w:style w:type="paragraph" w:customStyle="1" w:styleId="WW-Corpsdetexte3">
    <w:name w:val="WW-Corps de texte 3"/>
    <w:basedOn w:val="Normal"/>
    <w:rsid w:val="00CB36DD"/>
    <w:pPr>
      <w:suppressAutoHyphens/>
      <w:spacing w:after="0" w:line="240" w:lineRule="auto"/>
      <w:jc w:val="both"/>
    </w:pPr>
    <w:rPr>
      <w:rFonts w:ascii="Times New Roman" w:eastAsia="Times New Roman" w:hAnsi="Times New Roman" w:cs="Times New Roman"/>
      <w:spacing w:val="2"/>
      <w:lang w:eastAsia="fr-FR"/>
    </w:rPr>
  </w:style>
  <w:style w:type="paragraph" w:styleId="Corpsdetexte3">
    <w:name w:val="Body Text 3"/>
    <w:basedOn w:val="Normal"/>
    <w:link w:val="Corpsdetexte3Car"/>
    <w:rsid w:val="00CB36DD"/>
    <w:pPr>
      <w:tabs>
        <w:tab w:val="left" w:pos="284"/>
      </w:tabs>
      <w:suppressAutoHyphens/>
      <w:spacing w:after="0" w:line="240" w:lineRule="auto"/>
    </w:pPr>
    <w:rPr>
      <w:rFonts w:ascii="Times New Roman" w:eastAsia="Times New Roman" w:hAnsi="Times New Roman" w:cs="Times New Roman"/>
      <w:spacing w:val="2"/>
      <w:lang w:eastAsia="fr-FR"/>
    </w:rPr>
  </w:style>
  <w:style w:type="character" w:customStyle="1" w:styleId="Corpsdetexte3Car">
    <w:name w:val="Corps de texte 3 Car"/>
    <w:basedOn w:val="Policepardfaut"/>
    <w:link w:val="Corpsdetexte3"/>
    <w:rsid w:val="00CB36DD"/>
    <w:rPr>
      <w:rFonts w:ascii="Times New Roman" w:eastAsia="Times New Roman" w:hAnsi="Times New Roman" w:cs="Times New Roman"/>
      <w:spacing w:val="2"/>
      <w:lang w:val="fr-FR" w:eastAsia="fr-FR"/>
    </w:rPr>
  </w:style>
  <w:style w:type="table" w:styleId="Grilledutableau">
    <w:name w:val="Table Grid"/>
    <w:basedOn w:val="TableauNormal"/>
    <w:uiPriority w:val="39"/>
    <w:rsid w:val="00CB36DD"/>
    <w:pPr>
      <w:suppressAutoHyphens/>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B36DD"/>
    <w:pPr>
      <w:suppressAutoHyphens/>
      <w:spacing w:after="0" w:line="240" w:lineRule="auto"/>
      <w:ind w:left="708"/>
    </w:pPr>
    <w:rPr>
      <w:rFonts w:ascii="Arial" w:eastAsia="Times New Roman" w:hAnsi="Arial" w:cs="Arial"/>
      <w:sz w:val="24"/>
      <w:szCs w:val="24"/>
      <w:lang w:eastAsia="fr-FR"/>
    </w:rPr>
  </w:style>
  <w:style w:type="paragraph" w:styleId="Sous-titre">
    <w:name w:val="Subtitle"/>
    <w:basedOn w:val="Normal"/>
    <w:next w:val="Normal"/>
    <w:link w:val="Sous-titreCar"/>
    <w:qFormat/>
    <w:rsid w:val="00CB36DD"/>
    <w:pPr>
      <w:suppressAutoHyphens/>
      <w:spacing w:after="60" w:line="240" w:lineRule="auto"/>
      <w:jc w:val="center"/>
      <w:outlineLvl w:val="1"/>
    </w:pPr>
    <w:rPr>
      <w:rFonts w:ascii="Arial" w:eastAsia="Times New Roman" w:hAnsi="Arial" w:cs="Times New Roman"/>
      <w:b/>
      <w:sz w:val="24"/>
      <w:szCs w:val="24"/>
      <w:lang w:eastAsia="fr-FR"/>
    </w:rPr>
  </w:style>
  <w:style w:type="character" w:customStyle="1" w:styleId="Sous-titreCar">
    <w:name w:val="Sous-titre Car"/>
    <w:basedOn w:val="Policepardfaut"/>
    <w:link w:val="Sous-titre"/>
    <w:rsid w:val="00CB36DD"/>
    <w:rPr>
      <w:rFonts w:ascii="Arial" w:eastAsia="Times New Roman" w:hAnsi="Arial" w:cs="Times New Roman"/>
      <w:b/>
      <w:sz w:val="24"/>
      <w:szCs w:val="24"/>
      <w:lang w:val="fr-FR" w:eastAsia="fr-FR"/>
    </w:rPr>
  </w:style>
  <w:style w:type="paragraph" w:customStyle="1" w:styleId="yiv4444663644msonormal">
    <w:name w:val="yiv4444663644msonormal"/>
    <w:basedOn w:val="Normal"/>
    <w:rsid w:val="00CB36DD"/>
    <w:pPr>
      <w:spacing w:before="100" w:beforeAutospacing="1" w:after="100" w:afterAutospacing="1" w:line="240" w:lineRule="auto"/>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3961</Words>
  <Characters>22579</Characters>
  <Application>Microsoft Office Word</Application>
  <DocSecurity>0</DocSecurity>
  <Lines>188</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PharmacienResp</dc:creator>
  <cp:keywords/>
  <dc:description/>
  <cp:lastModifiedBy>PharmacienResp</cp:lastModifiedBy>
  <cp:revision>2</cp:revision>
  <dcterms:created xsi:type="dcterms:W3CDTF">2024-02-29T08:04:00Z</dcterms:created>
  <dcterms:modified xsi:type="dcterms:W3CDTF">2024-02-29T08:10:00Z</dcterms:modified>
</cp:coreProperties>
</file>